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1B362E" w14:paraId="7D76DD07" w14:textId="77777777">
        <w:tblPrEx>
          <w:tblCellMar>
            <w:top w:w="0" w:type="dxa"/>
            <w:bottom w:w="0" w:type="dxa"/>
          </w:tblCellMar>
        </w:tblPrEx>
        <w:trPr>
          <w:tblCellSpacing w:w="60" w:type="dxa"/>
        </w:trPr>
        <w:tc>
          <w:tcPr>
            <w:tcW w:w="1200" w:type="pct"/>
            <w:shd w:val="clear" w:color="auto" w:fill="E7F0F9"/>
          </w:tcPr>
          <w:p w14:paraId="7C113E90" w14:textId="77777777" w:rsidR="001B362E" w:rsidRDefault="001C1D7A">
            <w:pPr>
              <w:spacing w:after="0" w:line="240" w:lineRule="auto"/>
            </w:pPr>
            <w:r>
              <w:rPr>
                <w:b/>
              </w:rPr>
              <w:t>RKP broj</w:t>
            </w:r>
          </w:p>
        </w:tc>
        <w:tc>
          <w:tcPr>
            <w:tcW w:w="0" w:type="auto"/>
            <w:shd w:val="clear" w:color="auto" w:fill="E7F0F9"/>
          </w:tcPr>
          <w:p w14:paraId="3C9A107A" w14:textId="77777777" w:rsidR="001B362E" w:rsidRDefault="001C1D7A">
            <w:pPr>
              <w:spacing w:after="0" w:line="240" w:lineRule="auto"/>
            </w:pPr>
            <w:r>
              <w:t>38036</w:t>
            </w:r>
          </w:p>
        </w:tc>
      </w:tr>
      <w:tr w:rsidR="001B362E" w14:paraId="186AA539" w14:textId="77777777">
        <w:tblPrEx>
          <w:tblCellMar>
            <w:top w:w="0" w:type="dxa"/>
            <w:bottom w:w="0" w:type="dxa"/>
          </w:tblCellMar>
        </w:tblPrEx>
        <w:trPr>
          <w:tblCellSpacing w:w="60" w:type="dxa"/>
        </w:trPr>
        <w:tc>
          <w:tcPr>
            <w:tcW w:w="1200" w:type="pct"/>
            <w:shd w:val="clear" w:color="auto" w:fill="E7F0F9"/>
          </w:tcPr>
          <w:p w14:paraId="540A4509" w14:textId="77777777" w:rsidR="001B362E" w:rsidRDefault="001C1D7A">
            <w:pPr>
              <w:spacing w:after="0" w:line="240" w:lineRule="auto"/>
            </w:pPr>
            <w:r>
              <w:rPr>
                <w:b/>
              </w:rPr>
              <w:t>Naziv obveznika</w:t>
            </w:r>
          </w:p>
        </w:tc>
        <w:tc>
          <w:tcPr>
            <w:tcW w:w="0" w:type="auto"/>
            <w:shd w:val="clear" w:color="auto" w:fill="E7F0F9"/>
          </w:tcPr>
          <w:p w14:paraId="29074EE6" w14:textId="77777777" w:rsidR="001B362E" w:rsidRDefault="001C1D7A">
            <w:pPr>
              <w:spacing w:after="0" w:line="240" w:lineRule="auto"/>
            </w:pPr>
            <w:r>
              <w:t>GRAD OTOK</w:t>
            </w:r>
          </w:p>
        </w:tc>
      </w:tr>
      <w:tr w:rsidR="001B362E" w14:paraId="77A352B1" w14:textId="77777777">
        <w:tblPrEx>
          <w:tblCellMar>
            <w:top w:w="0" w:type="dxa"/>
            <w:bottom w:w="0" w:type="dxa"/>
          </w:tblCellMar>
        </w:tblPrEx>
        <w:trPr>
          <w:tblCellSpacing w:w="60" w:type="dxa"/>
        </w:trPr>
        <w:tc>
          <w:tcPr>
            <w:tcW w:w="1200" w:type="pct"/>
            <w:shd w:val="clear" w:color="auto" w:fill="E7F0F9"/>
          </w:tcPr>
          <w:p w14:paraId="4E51431D" w14:textId="77777777" w:rsidR="001B362E" w:rsidRDefault="001C1D7A">
            <w:pPr>
              <w:spacing w:after="0" w:line="240" w:lineRule="auto"/>
            </w:pPr>
            <w:r>
              <w:rPr>
                <w:b/>
              </w:rPr>
              <w:t>Razina</w:t>
            </w:r>
          </w:p>
        </w:tc>
        <w:tc>
          <w:tcPr>
            <w:tcW w:w="0" w:type="auto"/>
            <w:shd w:val="clear" w:color="auto" w:fill="E7F0F9"/>
          </w:tcPr>
          <w:p w14:paraId="1E888D59" w14:textId="77777777" w:rsidR="001B362E" w:rsidRDefault="001C1D7A">
            <w:pPr>
              <w:spacing w:after="0" w:line="240" w:lineRule="auto"/>
            </w:pPr>
            <w:r>
              <w:t>23</w:t>
            </w:r>
          </w:p>
        </w:tc>
      </w:tr>
    </w:tbl>
    <w:p w14:paraId="4FA83574" w14:textId="77777777" w:rsidR="001B362E" w:rsidRDefault="001C1D7A">
      <w:r>
        <w:br/>
      </w:r>
    </w:p>
    <w:p w14:paraId="03178560" w14:textId="77777777" w:rsidR="001B362E" w:rsidRDefault="001C1D7A">
      <w:pPr>
        <w:spacing w:line="240" w:lineRule="auto"/>
        <w:jc w:val="center"/>
      </w:pPr>
      <w:r>
        <w:rPr>
          <w:b/>
          <w:sz w:val="28"/>
        </w:rPr>
        <w:t>BILJEŠKE UZ FINANCIJSKE IZVJEŠTAJE</w:t>
      </w:r>
    </w:p>
    <w:p w14:paraId="38646C5F" w14:textId="77777777" w:rsidR="001B362E" w:rsidRDefault="001C1D7A">
      <w:pPr>
        <w:spacing w:line="240" w:lineRule="auto"/>
        <w:jc w:val="center"/>
      </w:pPr>
      <w:r>
        <w:rPr>
          <w:b/>
          <w:sz w:val="28"/>
        </w:rPr>
        <w:t>ZA RAZDOBLJE</w:t>
      </w:r>
    </w:p>
    <w:p w14:paraId="7F9E50B3" w14:textId="77777777" w:rsidR="001B362E" w:rsidRDefault="001C1D7A">
      <w:pPr>
        <w:spacing w:line="240" w:lineRule="auto"/>
        <w:jc w:val="center"/>
      </w:pPr>
      <w:r>
        <w:rPr>
          <w:b/>
          <w:sz w:val="28"/>
        </w:rPr>
        <w:t>I - XII 2025.</w:t>
      </w:r>
    </w:p>
    <w:p w14:paraId="778AF236" w14:textId="77777777" w:rsidR="001B362E" w:rsidRDefault="001B362E"/>
    <w:p w14:paraId="287B0651" w14:textId="77777777" w:rsidR="001B362E" w:rsidRDefault="001C1D7A">
      <w:pPr>
        <w:keepNext/>
        <w:spacing w:line="240" w:lineRule="auto"/>
        <w:jc w:val="center"/>
      </w:pPr>
      <w:r>
        <w:rPr>
          <w:b/>
          <w:sz w:val="28"/>
        </w:rPr>
        <w:t>Izvještaj o prihodima i rashodima, primicima i izdacima</w:t>
      </w:r>
    </w:p>
    <w:p w14:paraId="12AE1F48" w14:textId="77777777" w:rsidR="001B362E" w:rsidRDefault="001C1D7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3DC7A2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F2B611"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3F8AC2"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BB137D"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E7622D"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CAE21ED"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58692C" w14:textId="77777777" w:rsidR="001B362E" w:rsidRDefault="001C1D7A">
            <w:pPr>
              <w:keepNext/>
              <w:keepLines/>
              <w:spacing w:after="0" w:line="240" w:lineRule="auto"/>
              <w:jc w:val="center"/>
            </w:pPr>
            <w:r>
              <w:rPr>
                <w:b/>
                <w:sz w:val="18"/>
              </w:rPr>
              <w:t>Indeks (%)</w:t>
            </w:r>
          </w:p>
        </w:tc>
      </w:tr>
      <w:tr w:rsidR="001B362E" w14:paraId="5EC8AFDF" w14:textId="77777777">
        <w:tblPrEx>
          <w:tblCellMar>
            <w:top w:w="0" w:type="dxa"/>
            <w:bottom w:w="0" w:type="dxa"/>
          </w:tblCellMar>
        </w:tblPrEx>
        <w:trPr>
          <w:cantSplit/>
          <w:trHeight w:val="560"/>
        </w:trPr>
        <w:tc>
          <w:tcPr>
            <w:tcW w:w="700" w:type="dxa"/>
            <w:tcMar>
              <w:top w:w="0" w:type="dxa"/>
              <w:bottom w:w="0" w:type="dxa"/>
            </w:tcMar>
            <w:vAlign w:val="center"/>
          </w:tcPr>
          <w:p w14:paraId="2EAC9A69" w14:textId="77777777" w:rsidR="001B362E" w:rsidRDefault="001C1D7A">
            <w:pPr>
              <w:keepNext/>
              <w:keepLines/>
              <w:spacing w:after="0" w:line="240" w:lineRule="auto"/>
            </w:pPr>
            <w:r>
              <w:rPr>
                <w:sz w:val="18"/>
              </w:rPr>
              <w:t>6</w:t>
            </w:r>
          </w:p>
        </w:tc>
        <w:tc>
          <w:tcPr>
            <w:tcW w:w="3180" w:type="dxa"/>
            <w:tcMar>
              <w:top w:w="0" w:type="dxa"/>
              <w:bottom w:w="0" w:type="dxa"/>
            </w:tcMar>
            <w:vAlign w:val="center"/>
          </w:tcPr>
          <w:p w14:paraId="2EAC72B5" w14:textId="77777777" w:rsidR="001B362E" w:rsidRDefault="001C1D7A">
            <w:pPr>
              <w:keepNext/>
              <w:keepLines/>
              <w:spacing w:after="0" w:line="240" w:lineRule="auto"/>
            </w:pPr>
            <w:r>
              <w:rPr>
                <w:sz w:val="18"/>
              </w:rPr>
              <w:t>PRIHODI POSLOVANJA (šifre 61+62+63+64+65+66+67+68)</w:t>
            </w:r>
          </w:p>
        </w:tc>
        <w:tc>
          <w:tcPr>
            <w:tcW w:w="700" w:type="dxa"/>
            <w:tcMar>
              <w:top w:w="0" w:type="dxa"/>
              <w:bottom w:w="0" w:type="dxa"/>
            </w:tcMar>
            <w:vAlign w:val="center"/>
          </w:tcPr>
          <w:p w14:paraId="28B944F3" w14:textId="77777777" w:rsidR="001B362E" w:rsidRDefault="001C1D7A">
            <w:pPr>
              <w:keepNext/>
              <w:keepLines/>
              <w:spacing w:after="0" w:line="240" w:lineRule="auto"/>
            </w:pPr>
            <w:r>
              <w:rPr>
                <w:sz w:val="18"/>
              </w:rPr>
              <w:t>6</w:t>
            </w:r>
          </w:p>
        </w:tc>
        <w:tc>
          <w:tcPr>
            <w:tcW w:w="1860" w:type="dxa"/>
            <w:tcMar>
              <w:top w:w="0" w:type="dxa"/>
              <w:bottom w:w="0" w:type="dxa"/>
            </w:tcMar>
            <w:vAlign w:val="center"/>
          </w:tcPr>
          <w:p w14:paraId="6696E4C8" w14:textId="77777777" w:rsidR="001B362E" w:rsidRDefault="001C1D7A">
            <w:pPr>
              <w:keepNext/>
              <w:keepLines/>
              <w:spacing w:after="0" w:line="240" w:lineRule="auto"/>
              <w:jc w:val="right"/>
            </w:pPr>
            <w:r>
              <w:rPr>
                <w:sz w:val="18"/>
              </w:rPr>
              <w:t>9.755.404,00</w:t>
            </w:r>
          </w:p>
        </w:tc>
        <w:tc>
          <w:tcPr>
            <w:tcW w:w="1860" w:type="dxa"/>
            <w:tcMar>
              <w:top w:w="0" w:type="dxa"/>
              <w:bottom w:w="0" w:type="dxa"/>
            </w:tcMar>
            <w:vAlign w:val="center"/>
          </w:tcPr>
          <w:p w14:paraId="45D3C9F0" w14:textId="77777777" w:rsidR="001B362E" w:rsidRDefault="001C1D7A">
            <w:pPr>
              <w:keepNext/>
              <w:keepLines/>
              <w:spacing w:after="0" w:line="240" w:lineRule="auto"/>
              <w:jc w:val="right"/>
            </w:pPr>
            <w:r>
              <w:rPr>
                <w:sz w:val="18"/>
              </w:rPr>
              <w:t>6.358.250,69</w:t>
            </w:r>
          </w:p>
        </w:tc>
        <w:tc>
          <w:tcPr>
            <w:tcW w:w="700" w:type="dxa"/>
            <w:tcMar>
              <w:top w:w="0" w:type="dxa"/>
              <w:bottom w:w="0" w:type="dxa"/>
            </w:tcMar>
            <w:vAlign w:val="center"/>
          </w:tcPr>
          <w:p w14:paraId="68F6CAA3" w14:textId="77777777" w:rsidR="001B362E" w:rsidRDefault="001C1D7A">
            <w:pPr>
              <w:keepNext/>
              <w:keepLines/>
              <w:spacing w:after="0" w:line="240" w:lineRule="auto"/>
              <w:jc w:val="right"/>
            </w:pPr>
            <w:r>
              <w:rPr>
                <w:sz w:val="18"/>
              </w:rPr>
              <w:t>65,2</w:t>
            </w:r>
          </w:p>
        </w:tc>
      </w:tr>
      <w:tr w:rsidR="001B362E" w14:paraId="1F5C53C7" w14:textId="77777777">
        <w:tblPrEx>
          <w:tblCellMar>
            <w:top w:w="0" w:type="dxa"/>
            <w:bottom w:w="0" w:type="dxa"/>
          </w:tblCellMar>
        </w:tblPrEx>
        <w:trPr>
          <w:cantSplit/>
          <w:trHeight w:val="560"/>
        </w:trPr>
        <w:tc>
          <w:tcPr>
            <w:tcW w:w="700" w:type="dxa"/>
            <w:tcMar>
              <w:top w:w="0" w:type="dxa"/>
              <w:bottom w:w="0" w:type="dxa"/>
            </w:tcMar>
            <w:vAlign w:val="center"/>
          </w:tcPr>
          <w:p w14:paraId="540FE3FD" w14:textId="77777777" w:rsidR="001B362E" w:rsidRDefault="001C1D7A">
            <w:pPr>
              <w:keepNext/>
              <w:keepLines/>
              <w:spacing w:after="0" w:line="240" w:lineRule="auto"/>
            </w:pPr>
            <w:r>
              <w:rPr>
                <w:sz w:val="18"/>
              </w:rPr>
              <w:t>3</w:t>
            </w:r>
          </w:p>
        </w:tc>
        <w:tc>
          <w:tcPr>
            <w:tcW w:w="3180" w:type="dxa"/>
            <w:tcMar>
              <w:top w:w="0" w:type="dxa"/>
              <w:bottom w:w="0" w:type="dxa"/>
            </w:tcMar>
            <w:vAlign w:val="center"/>
          </w:tcPr>
          <w:p w14:paraId="00AA42EC" w14:textId="77777777" w:rsidR="001B362E" w:rsidRDefault="001C1D7A">
            <w:pPr>
              <w:keepNext/>
              <w:keepLines/>
              <w:spacing w:after="0" w:line="240" w:lineRule="auto"/>
            </w:pPr>
            <w:r>
              <w:rPr>
                <w:sz w:val="18"/>
              </w:rPr>
              <w:t>RASHODI POSLOVANJA (šifre 31+32+34+35+36+37+38)</w:t>
            </w:r>
          </w:p>
        </w:tc>
        <w:tc>
          <w:tcPr>
            <w:tcW w:w="700" w:type="dxa"/>
            <w:tcMar>
              <w:top w:w="0" w:type="dxa"/>
              <w:bottom w:w="0" w:type="dxa"/>
            </w:tcMar>
            <w:vAlign w:val="center"/>
          </w:tcPr>
          <w:p w14:paraId="1ED5FB54" w14:textId="77777777" w:rsidR="001B362E" w:rsidRDefault="001C1D7A">
            <w:pPr>
              <w:keepNext/>
              <w:keepLines/>
              <w:spacing w:after="0" w:line="240" w:lineRule="auto"/>
            </w:pPr>
            <w:r>
              <w:rPr>
                <w:sz w:val="18"/>
              </w:rPr>
              <w:t>3</w:t>
            </w:r>
          </w:p>
        </w:tc>
        <w:tc>
          <w:tcPr>
            <w:tcW w:w="1860" w:type="dxa"/>
            <w:tcMar>
              <w:top w:w="0" w:type="dxa"/>
              <w:bottom w:w="0" w:type="dxa"/>
            </w:tcMar>
            <w:vAlign w:val="center"/>
          </w:tcPr>
          <w:p w14:paraId="121783B6" w14:textId="77777777" w:rsidR="001B362E" w:rsidRDefault="001C1D7A">
            <w:pPr>
              <w:keepNext/>
              <w:keepLines/>
              <w:spacing w:after="0" w:line="240" w:lineRule="auto"/>
              <w:jc w:val="right"/>
            </w:pPr>
            <w:r>
              <w:rPr>
                <w:sz w:val="18"/>
              </w:rPr>
              <w:t>4.590.640,88</w:t>
            </w:r>
          </w:p>
        </w:tc>
        <w:tc>
          <w:tcPr>
            <w:tcW w:w="1860" w:type="dxa"/>
            <w:tcMar>
              <w:top w:w="0" w:type="dxa"/>
              <w:bottom w:w="0" w:type="dxa"/>
            </w:tcMar>
            <w:vAlign w:val="center"/>
          </w:tcPr>
          <w:p w14:paraId="2B2492F4" w14:textId="77777777" w:rsidR="001B362E" w:rsidRDefault="001C1D7A">
            <w:pPr>
              <w:keepNext/>
              <w:keepLines/>
              <w:spacing w:after="0" w:line="240" w:lineRule="auto"/>
              <w:jc w:val="right"/>
            </w:pPr>
            <w:r>
              <w:rPr>
                <w:sz w:val="18"/>
              </w:rPr>
              <w:t>6.088.753,41</w:t>
            </w:r>
          </w:p>
        </w:tc>
        <w:tc>
          <w:tcPr>
            <w:tcW w:w="700" w:type="dxa"/>
            <w:tcMar>
              <w:top w:w="0" w:type="dxa"/>
              <w:bottom w:w="0" w:type="dxa"/>
            </w:tcMar>
            <w:vAlign w:val="center"/>
          </w:tcPr>
          <w:p w14:paraId="352674D1" w14:textId="77777777" w:rsidR="001B362E" w:rsidRDefault="001C1D7A">
            <w:pPr>
              <w:keepNext/>
              <w:keepLines/>
              <w:spacing w:after="0" w:line="240" w:lineRule="auto"/>
              <w:jc w:val="right"/>
            </w:pPr>
            <w:r>
              <w:rPr>
                <w:sz w:val="18"/>
              </w:rPr>
              <w:t>132,6</w:t>
            </w:r>
          </w:p>
        </w:tc>
      </w:tr>
      <w:tr w:rsidR="001B362E" w14:paraId="4ED649BB" w14:textId="77777777">
        <w:tblPrEx>
          <w:tblCellMar>
            <w:top w:w="0" w:type="dxa"/>
            <w:bottom w:w="0" w:type="dxa"/>
          </w:tblCellMar>
        </w:tblPrEx>
        <w:trPr>
          <w:cantSplit/>
          <w:trHeight w:val="560"/>
        </w:trPr>
        <w:tc>
          <w:tcPr>
            <w:tcW w:w="700" w:type="dxa"/>
            <w:tcMar>
              <w:top w:w="0" w:type="dxa"/>
              <w:bottom w:w="0" w:type="dxa"/>
            </w:tcMar>
            <w:vAlign w:val="center"/>
          </w:tcPr>
          <w:p w14:paraId="3406ACF5" w14:textId="77777777" w:rsidR="001B362E" w:rsidRDefault="001B362E">
            <w:pPr>
              <w:keepNext/>
              <w:keepLines/>
              <w:spacing w:after="0" w:line="240" w:lineRule="auto"/>
            </w:pPr>
          </w:p>
        </w:tc>
        <w:tc>
          <w:tcPr>
            <w:tcW w:w="3180" w:type="dxa"/>
            <w:tcMar>
              <w:top w:w="0" w:type="dxa"/>
              <w:bottom w:w="0" w:type="dxa"/>
            </w:tcMar>
            <w:vAlign w:val="center"/>
          </w:tcPr>
          <w:p w14:paraId="7F2602E9" w14:textId="77777777" w:rsidR="001B362E" w:rsidRDefault="001C1D7A">
            <w:pPr>
              <w:keepNext/>
              <w:keepLines/>
              <w:spacing w:after="0" w:line="240" w:lineRule="auto"/>
            </w:pPr>
            <w:r>
              <w:rPr>
                <w:b/>
                <w:sz w:val="18"/>
              </w:rPr>
              <w:t>VIŠAK PRIHODA POSLOVANJA (šifre 6-Z005)</w:t>
            </w:r>
          </w:p>
        </w:tc>
        <w:tc>
          <w:tcPr>
            <w:tcW w:w="700" w:type="dxa"/>
            <w:tcMar>
              <w:top w:w="0" w:type="dxa"/>
              <w:bottom w:w="0" w:type="dxa"/>
            </w:tcMar>
            <w:vAlign w:val="center"/>
          </w:tcPr>
          <w:p w14:paraId="704AAD46" w14:textId="77777777" w:rsidR="001B362E" w:rsidRDefault="001C1D7A">
            <w:pPr>
              <w:keepNext/>
              <w:keepLines/>
              <w:spacing w:after="0" w:line="240" w:lineRule="auto"/>
            </w:pPr>
            <w:r>
              <w:rPr>
                <w:b/>
                <w:sz w:val="18"/>
              </w:rPr>
              <w:t>X001</w:t>
            </w:r>
          </w:p>
        </w:tc>
        <w:tc>
          <w:tcPr>
            <w:tcW w:w="1860" w:type="dxa"/>
            <w:tcMar>
              <w:top w:w="0" w:type="dxa"/>
              <w:bottom w:w="0" w:type="dxa"/>
            </w:tcMar>
            <w:vAlign w:val="center"/>
          </w:tcPr>
          <w:p w14:paraId="7BE64BFD" w14:textId="77777777" w:rsidR="001B362E" w:rsidRDefault="001C1D7A">
            <w:pPr>
              <w:keepNext/>
              <w:keepLines/>
              <w:spacing w:after="0" w:line="240" w:lineRule="auto"/>
              <w:jc w:val="right"/>
            </w:pPr>
            <w:r>
              <w:rPr>
                <w:b/>
                <w:sz w:val="18"/>
              </w:rPr>
              <w:t>5.164.763,12</w:t>
            </w:r>
          </w:p>
        </w:tc>
        <w:tc>
          <w:tcPr>
            <w:tcW w:w="1860" w:type="dxa"/>
            <w:tcMar>
              <w:top w:w="0" w:type="dxa"/>
              <w:bottom w:w="0" w:type="dxa"/>
            </w:tcMar>
            <w:vAlign w:val="center"/>
          </w:tcPr>
          <w:p w14:paraId="4CFE28F6" w14:textId="77777777" w:rsidR="001B362E" w:rsidRDefault="001C1D7A">
            <w:pPr>
              <w:keepNext/>
              <w:keepLines/>
              <w:spacing w:after="0" w:line="240" w:lineRule="auto"/>
              <w:jc w:val="right"/>
            </w:pPr>
            <w:r>
              <w:rPr>
                <w:b/>
                <w:sz w:val="18"/>
              </w:rPr>
              <w:t>269.497,28</w:t>
            </w:r>
          </w:p>
        </w:tc>
        <w:tc>
          <w:tcPr>
            <w:tcW w:w="700" w:type="dxa"/>
            <w:tcMar>
              <w:top w:w="0" w:type="dxa"/>
              <w:bottom w:w="0" w:type="dxa"/>
            </w:tcMar>
            <w:vAlign w:val="center"/>
          </w:tcPr>
          <w:p w14:paraId="4D764F8A" w14:textId="77777777" w:rsidR="001B362E" w:rsidRDefault="001C1D7A">
            <w:pPr>
              <w:keepNext/>
              <w:keepLines/>
              <w:spacing w:after="0" w:line="240" w:lineRule="auto"/>
              <w:jc w:val="right"/>
            </w:pPr>
            <w:r>
              <w:rPr>
                <w:b/>
                <w:sz w:val="18"/>
              </w:rPr>
              <w:t>5,2</w:t>
            </w:r>
          </w:p>
        </w:tc>
      </w:tr>
      <w:tr w:rsidR="001B362E" w14:paraId="0E48CC8F" w14:textId="77777777">
        <w:tblPrEx>
          <w:tblCellMar>
            <w:top w:w="0" w:type="dxa"/>
            <w:bottom w:w="0" w:type="dxa"/>
          </w:tblCellMar>
        </w:tblPrEx>
        <w:trPr>
          <w:cantSplit/>
          <w:trHeight w:val="560"/>
        </w:trPr>
        <w:tc>
          <w:tcPr>
            <w:tcW w:w="700" w:type="dxa"/>
            <w:tcMar>
              <w:top w:w="0" w:type="dxa"/>
              <w:bottom w:w="0" w:type="dxa"/>
            </w:tcMar>
            <w:vAlign w:val="center"/>
          </w:tcPr>
          <w:p w14:paraId="0DD77AA8" w14:textId="77777777" w:rsidR="001B362E" w:rsidRDefault="001C1D7A">
            <w:pPr>
              <w:keepNext/>
              <w:keepLines/>
              <w:spacing w:after="0" w:line="240" w:lineRule="auto"/>
            </w:pPr>
            <w:r>
              <w:rPr>
                <w:sz w:val="18"/>
              </w:rPr>
              <w:t>7</w:t>
            </w:r>
          </w:p>
        </w:tc>
        <w:tc>
          <w:tcPr>
            <w:tcW w:w="3180" w:type="dxa"/>
            <w:tcMar>
              <w:top w:w="0" w:type="dxa"/>
              <w:bottom w:w="0" w:type="dxa"/>
            </w:tcMar>
            <w:vAlign w:val="center"/>
          </w:tcPr>
          <w:p w14:paraId="1E892BD7" w14:textId="77777777" w:rsidR="001B362E" w:rsidRDefault="001C1D7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F63A269" w14:textId="77777777" w:rsidR="001B362E" w:rsidRDefault="001C1D7A">
            <w:pPr>
              <w:keepNext/>
              <w:keepLines/>
              <w:spacing w:after="0" w:line="240" w:lineRule="auto"/>
            </w:pPr>
            <w:r>
              <w:rPr>
                <w:sz w:val="18"/>
              </w:rPr>
              <w:t>7</w:t>
            </w:r>
          </w:p>
        </w:tc>
        <w:tc>
          <w:tcPr>
            <w:tcW w:w="1860" w:type="dxa"/>
            <w:tcMar>
              <w:top w:w="0" w:type="dxa"/>
              <w:bottom w:w="0" w:type="dxa"/>
            </w:tcMar>
            <w:vAlign w:val="center"/>
          </w:tcPr>
          <w:p w14:paraId="7C5A5EAC" w14:textId="77777777" w:rsidR="001B362E" w:rsidRDefault="001C1D7A">
            <w:pPr>
              <w:keepNext/>
              <w:keepLines/>
              <w:spacing w:after="0" w:line="240" w:lineRule="auto"/>
              <w:jc w:val="right"/>
            </w:pPr>
            <w:r>
              <w:rPr>
                <w:sz w:val="18"/>
              </w:rPr>
              <w:t>66.014,81</w:t>
            </w:r>
          </w:p>
        </w:tc>
        <w:tc>
          <w:tcPr>
            <w:tcW w:w="1860" w:type="dxa"/>
            <w:tcMar>
              <w:top w:w="0" w:type="dxa"/>
              <w:bottom w:w="0" w:type="dxa"/>
            </w:tcMar>
            <w:vAlign w:val="center"/>
          </w:tcPr>
          <w:p w14:paraId="31EEE618" w14:textId="77777777" w:rsidR="001B362E" w:rsidRDefault="001C1D7A">
            <w:pPr>
              <w:keepNext/>
              <w:keepLines/>
              <w:spacing w:after="0" w:line="240" w:lineRule="auto"/>
              <w:jc w:val="right"/>
            </w:pPr>
            <w:r>
              <w:rPr>
                <w:sz w:val="18"/>
              </w:rPr>
              <w:t>68.090,22</w:t>
            </w:r>
          </w:p>
        </w:tc>
        <w:tc>
          <w:tcPr>
            <w:tcW w:w="700" w:type="dxa"/>
            <w:tcMar>
              <w:top w:w="0" w:type="dxa"/>
              <w:bottom w:w="0" w:type="dxa"/>
            </w:tcMar>
            <w:vAlign w:val="center"/>
          </w:tcPr>
          <w:p w14:paraId="34FDF911" w14:textId="77777777" w:rsidR="001B362E" w:rsidRDefault="001C1D7A">
            <w:pPr>
              <w:keepNext/>
              <w:keepLines/>
              <w:spacing w:after="0" w:line="240" w:lineRule="auto"/>
              <w:jc w:val="right"/>
            </w:pPr>
            <w:r>
              <w:rPr>
                <w:sz w:val="18"/>
              </w:rPr>
              <w:t>103,1</w:t>
            </w:r>
          </w:p>
        </w:tc>
      </w:tr>
      <w:tr w:rsidR="001B362E" w14:paraId="10AF0294" w14:textId="77777777">
        <w:tblPrEx>
          <w:tblCellMar>
            <w:top w:w="0" w:type="dxa"/>
            <w:bottom w:w="0" w:type="dxa"/>
          </w:tblCellMar>
        </w:tblPrEx>
        <w:trPr>
          <w:cantSplit/>
          <w:trHeight w:val="560"/>
        </w:trPr>
        <w:tc>
          <w:tcPr>
            <w:tcW w:w="700" w:type="dxa"/>
            <w:tcMar>
              <w:top w:w="0" w:type="dxa"/>
              <w:bottom w:w="0" w:type="dxa"/>
            </w:tcMar>
            <w:vAlign w:val="center"/>
          </w:tcPr>
          <w:p w14:paraId="19DC3316" w14:textId="77777777" w:rsidR="001B362E" w:rsidRDefault="001C1D7A">
            <w:pPr>
              <w:keepNext/>
              <w:keepLines/>
              <w:spacing w:after="0" w:line="240" w:lineRule="auto"/>
            </w:pPr>
            <w:r>
              <w:rPr>
                <w:sz w:val="18"/>
              </w:rPr>
              <w:t>4</w:t>
            </w:r>
          </w:p>
        </w:tc>
        <w:tc>
          <w:tcPr>
            <w:tcW w:w="3180" w:type="dxa"/>
            <w:tcMar>
              <w:top w:w="0" w:type="dxa"/>
              <w:bottom w:w="0" w:type="dxa"/>
            </w:tcMar>
            <w:vAlign w:val="center"/>
          </w:tcPr>
          <w:p w14:paraId="2FA0A21E" w14:textId="77777777" w:rsidR="001B362E" w:rsidRDefault="001C1D7A">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40782B8B" w14:textId="77777777" w:rsidR="001B362E" w:rsidRDefault="001C1D7A">
            <w:pPr>
              <w:keepNext/>
              <w:keepLines/>
              <w:spacing w:after="0" w:line="240" w:lineRule="auto"/>
            </w:pPr>
            <w:r>
              <w:rPr>
                <w:sz w:val="18"/>
              </w:rPr>
              <w:t>4</w:t>
            </w:r>
          </w:p>
        </w:tc>
        <w:tc>
          <w:tcPr>
            <w:tcW w:w="1860" w:type="dxa"/>
            <w:tcMar>
              <w:top w:w="0" w:type="dxa"/>
              <w:bottom w:w="0" w:type="dxa"/>
            </w:tcMar>
            <w:vAlign w:val="center"/>
          </w:tcPr>
          <w:p w14:paraId="5D2B5ABF" w14:textId="77777777" w:rsidR="001B362E" w:rsidRDefault="001C1D7A">
            <w:pPr>
              <w:keepNext/>
              <w:keepLines/>
              <w:spacing w:after="0" w:line="240" w:lineRule="auto"/>
              <w:jc w:val="right"/>
            </w:pPr>
            <w:r>
              <w:rPr>
                <w:sz w:val="18"/>
              </w:rPr>
              <w:t>2.015.039,40</w:t>
            </w:r>
          </w:p>
        </w:tc>
        <w:tc>
          <w:tcPr>
            <w:tcW w:w="1860" w:type="dxa"/>
            <w:tcMar>
              <w:top w:w="0" w:type="dxa"/>
              <w:bottom w:w="0" w:type="dxa"/>
            </w:tcMar>
            <w:vAlign w:val="center"/>
          </w:tcPr>
          <w:p w14:paraId="634536C3" w14:textId="77777777" w:rsidR="001B362E" w:rsidRDefault="001C1D7A">
            <w:pPr>
              <w:keepNext/>
              <w:keepLines/>
              <w:spacing w:after="0" w:line="240" w:lineRule="auto"/>
              <w:jc w:val="right"/>
            </w:pPr>
            <w:r>
              <w:rPr>
                <w:sz w:val="18"/>
              </w:rPr>
              <w:t>1.788.234,50</w:t>
            </w:r>
          </w:p>
        </w:tc>
        <w:tc>
          <w:tcPr>
            <w:tcW w:w="700" w:type="dxa"/>
            <w:tcMar>
              <w:top w:w="0" w:type="dxa"/>
              <w:bottom w:w="0" w:type="dxa"/>
            </w:tcMar>
            <w:vAlign w:val="center"/>
          </w:tcPr>
          <w:p w14:paraId="7152CDD3" w14:textId="77777777" w:rsidR="001B362E" w:rsidRDefault="001C1D7A">
            <w:pPr>
              <w:keepNext/>
              <w:keepLines/>
              <w:spacing w:after="0" w:line="240" w:lineRule="auto"/>
              <w:jc w:val="right"/>
            </w:pPr>
            <w:r>
              <w:rPr>
                <w:sz w:val="18"/>
              </w:rPr>
              <w:t>88,7</w:t>
            </w:r>
          </w:p>
        </w:tc>
      </w:tr>
      <w:tr w:rsidR="001B362E" w14:paraId="7A26F1A3" w14:textId="77777777">
        <w:tblPrEx>
          <w:tblCellMar>
            <w:top w:w="0" w:type="dxa"/>
            <w:bottom w:w="0" w:type="dxa"/>
          </w:tblCellMar>
        </w:tblPrEx>
        <w:trPr>
          <w:cantSplit/>
          <w:trHeight w:val="560"/>
        </w:trPr>
        <w:tc>
          <w:tcPr>
            <w:tcW w:w="700" w:type="dxa"/>
            <w:tcMar>
              <w:top w:w="0" w:type="dxa"/>
              <w:bottom w:w="0" w:type="dxa"/>
            </w:tcMar>
            <w:vAlign w:val="center"/>
          </w:tcPr>
          <w:p w14:paraId="2502A309" w14:textId="77777777" w:rsidR="001B362E" w:rsidRDefault="001B362E">
            <w:pPr>
              <w:keepNext/>
              <w:keepLines/>
              <w:spacing w:after="0" w:line="240" w:lineRule="auto"/>
            </w:pPr>
          </w:p>
        </w:tc>
        <w:tc>
          <w:tcPr>
            <w:tcW w:w="3180" w:type="dxa"/>
            <w:tcMar>
              <w:top w:w="0" w:type="dxa"/>
              <w:bottom w:w="0" w:type="dxa"/>
            </w:tcMar>
            <w:vAlign w:val="center"/>
          </w:tcPr>
          <w:p w14:paraId="71355DBE" w14:textId="77777777" w:rsidR="001B362E" w:rsidRDefault="001C1D7A">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75A3B2F" w14:textId="77777777" w:rsidR="001B362E" w:rsidRDefault="001C1D7A">
            <w:pPr>
              <w:keepNext/>
              <w:keepLines/>
              <w:spacing w:after="0" w:line="240" w:lineRule="auto"/>
            </w:pPr>
            <w:r>
              <w:rPr>
                <w:b/>
                <w:sz w:val="18"/>
              </w:rPr>
              <w:t>Y002</w:t>
            </w:r>
          </w:p>
        </w:tc>
        <w:tc>
          <w:tcPr>
            <w:tcW w:w="1860" w:type="dxa"/>
            <w:tcMar>
              <w:top w:w="0" w:type="dxa"/>
              <w:bottom w:w="0" w:type="dxa"/>
            </w:tcMar>
            <w:vAlign w:val="center"/>
          </w:tcPr>
          <w:p w14:paraId="4B9D48F9" w14:textId="77777777" w:rsidR="001B362E" w:rsidRDefault="001C1D7A">
            <w:pPr>
              <w:keepNext/>
              <w:keepLines/>
              <w:spacing w:after="0" w:line="240" w:lineRule="auto"/>
              <w:jc w:val="right"/>
            </w:pPr>
            <w:r>
              <w:rPr>
                <w:b/>
                <w:sz w:val="18"/>
              </w:rPr>
              <w:t>1.949.024,59</w:t>
            </w:r>
          </w:p>
        </w:tc>
        <w:tc>
          <w:tcPr>
            <w:tcW w:w="1860" w:type="dxa"/>
            <w:tcMar>
              <w:top w:w="0" w:type="dxa"/>
              <w:bottom w:w="0" w:type="dxa"/>
            </w:tcMar>
            <w:vAlign w:val="center"/>
          </w:tcPr>
          <w:p w14:paraId="6C055C8F" w14:textId="77777777" w:rsidR="001B362E" w:rsidRDefault="001C1D7A">
            <w:pPr>
              <w:keepNext/>
              <w:keepLines/>
              <w:spacing w:after="0" w:line="240" w:lineRule="auto"/>
              <w:jc w:val="right"/>
            </w:pPr>
            <w:r>
              <w:rPr>
                <w:b/>
                <w:sz w:val="18"/>
              </w:rPr>
              <w:t>1.720.144,28</w:t>
            </w:r>
          </w:p>
        </w:tc>
        <w:tc>
          <w:tcPr>
            <w:tcW w:w="700" w:type="dxa"/>
            <w:tcMar>
              <w:top w:w="0" w:type="dxa"/>
              <w:bottom w:w="0" w:type="dxa"/>
            </w:tcMar>
            <w:vAlign w:val="center"/>
          </w:tcPr>
          <w:p w14:paraId="24BCCD91" w14:textId="77777777" w:rsidR="001B362E" w:rsidRDefault="001C1D7A">
            <w:pPr>
              <w:keepNext/>
              <w:keepLines/>
              <w:spacing w:after="0" w:line="240" w:lineRule="auto"/>
              <w:jc w:val="right"/>
            </w:pPr>
            <w:r>
              <w:rPr>
                <w:b/>
                <w:sz w:val="18"/>
              </w:rPr>
              <w:t>88,3</w:t>
            </w:r>
          </w:p>
        </w:tc>
      </w:tr>
      <w:tr w:rsidR="001B362E" w14:paraId="56EDE40F" w14:textId="77777777">
        <w:tblPrEx>
          <w:tblCellMar>
            <w:top w:w="0" w:type="dxa"/>
            <w:bottom w:w="0" w:type="dxa"/>
          </w:tblCellMar>
        </w:tblPrEx>
        <w:trPr>
          <w:cantSplit/>
          <w:trHeight w:val="560"/>
        </w:trPr>
        <w:tc>
          <w:tcPr>
            <w:tcW w:w="700" w:type="dxa"/>
            <w:tcMar>
              <w:top w:w="0" w:type="dxa"/>
              <w:bottom w:w="0" w:type="dxa"/>
            </w:tcMar>
            <w:vAlign w:val="center"/>
          </w:tcPr>
          <w:p w14:paraId="431102BC" w14:textId="77777777" w:rsidR="001B362E" w:rsidRDefault="001C1D7A">
            <w:pPr>
              <w:keepNext/>
              <w:keepLines/>
              <w:spacing w:after="0" w:line="240" w:lineRule="auto"/>
            </w:pPr>
            <w:r>
              <w:rPr>
                <w:sz w:val="18"/>
              </w:rPr>
              <w:t>8</w:t>
            </w:r>
          </w:p>
        </w:tc>
        <w:tc>
          <w:tcPr>
            <w:tcW w:w="3180" w:type="dxa"/>
            <w:tcMar>
              <w:top w:w="0" w:type="dxa"/>
              <w:bottom w:w="0" w:type="dxa"/>
            </w:tcMar>
            <w:vAlign w:val="center"/>
          </w:tcPr>
          <w:p w14:paraId="7EA2BE56" w14:textId="77777777" w:rsidR="001B362E" w:rsidRDefault="001C1D7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46CD37E" w14:textId="77777777" w:rsidR="001B362E" w:rsidRDefault="001C1D7A">
            <w:pPr>
              <w:keepNext/>
              <w:keepLines/>
              <w:spacing w:after="0" w:line="240" w:lineRule="auto"/>
            </w:pPr>
            <w:r>
              <w:rPr>
                <w:sz w:val="18"/>
              </w:rPr>
              <w:t>8</w:t>
            </w:r>
          </w:p>
        </w:tc>
        <w:tc>
          <w:tcPr>
            <w:tcW w:w="1860" w:type="dxa"/>
            <w:tcMar>
              <w:top w:w="0" w:type="dxa"/>
              <w:bottom w:w="0" w:type="dxa"/>
            </w:tcMar>
            <w:vAlign w:val="center"/>
          </w:tcPr>
          <w:p w14:paraId="1DFA5221" w14:textId="77777777" w:rsidR="001B362E" w:rsidRDefault="001C1D7A">
            <w:pPr>
              <w:keepNext/>
              <w:keepLines/>
              <w:spacing w:after="0" w:line="240" w:lineRule="auto"/>
              <w:jc w:val="right"/>
            </w:pPr>
            <w:r>
              <w:rPr>
                <w:sz w:val="18"/>
              </w:rPr>
              <w:t>0,00</w:t>
            </w:r>
          </w:p>
        </w:tc>
        <w:tc>
          <w:tcPr>
            <w:tcW w:w="1860" w:type="dxa"/>
            <w:tcMar>
              <w:top w:w="0" w:type="dxa"/>
              <w:bottom w:w="0" w:type="dxa"/>
            </w:tcMar>
            <w:vAlign w:val="center"/>
          </w:tcPr>
          <w:p w14:paraId="272D8F29" w14:textId="77777777" w:rsidR="001B362E" w:rsidRDefault="001C1D7A">
            <w:pPr>
              <w:keepNext/>
              <w:keepLines/>
              <w:spacing w:after="0" w:line="240" w:lineRule="auto"/>
              <w:jc w:val="right"/>
            </w:pPr>
            <w:r>
              <w:rPr>
                <w:sz w:val="18"/>
              </w:rPr>
              <w:t>259.875,00</w:t>
            </w:r>
          </w:p>
        </w:tc>
        <w:tc>
          <w:tcPr>
            <w:tcW w:w="700" w:type="dxa"/>
            <w:tcMar>
              <w:top w:w="0" w:type="dxa"/>
              <w:bottom w:w="0" w:type="dxa"/>
            </w:tcMar>
            <w:vAlign w:val="center"/>
          </w:tcPr>
          <w:p w14:paraId="19D9E333" w14:textId="77777777" w:rsidR="001B362E" w:rsidRDefault="001C1D7A">
            <w:pPr>
              <w:keepNext/>
              <w:keepLines/>
              <w:spacing w:after="0" w:line="240" w:lineRule="auto"/>
              <w:jc w:val="right"/>
            </w:pPr>
            <w:r>
              <w:rPr>
                <w:sz w:val="18"/>
              </w:rPr>
              <w:t>-</w:t>
            </w:r>
          </w:p>
        </w:tc>
      </w:tr>
      <w:tr w:rsidR="001B362E" w14:paraId="7949F59D" w14:textId="77777777">
        <w:tblPrEx>
          <w:tblCellMar>
            <w:top w:w="0" w:type="dxa"/>
            <w:bottom w:w="0" w:type="dxa"/>
          </w:tblCellMar>
        </w:tblPrEx>
        <w:trPr>
          <w:cantSplit/>
          <w:trHeight w:val="560"/>
        </w:trPr>
        <w:tc>
          <w:tcPr>
            <w:tcW w:w="700" w:type="dxa"/>
            <w:tcMar>
              <w:top w:w="0" w:type="dxa"/>
              <w:bottom w:w="0" w:type="dxa"/>
            </w:tcMar>
            <w:vAlign w:val="center"/>
          </w:tcPr>
          <w:p w14:paraId="7F52E6B1" w14:textId="77777777" w:rsidR="001B362E" w:rsidRDefault="001C1D7A">
            <w:pPr>
              <w:keepNext/>
              <w:keepLines/>
              <w:spacing w:after="0" w:line="240" w:lineRule="auto"/>
            </w:pPr>
            <w:r>
              <w:rPr>
                <w:sz w:val="18"/>
              </w:rPr>
              <w:t>5</w:t>
            </w:r>
          </w:p>
        </w:tc>
        <w:tc>
          <w:tcPr>
            <w:tcW w:w="3180" w:type="dxa"/>
            <w:tcMar>
              <w:top w:w="0" w:type="dxa"/>
              <w:bottom w:w="0" w:type="dxa"/>
            </w:tcMar>
            <w:vAlign w:val="center"/>
          </w:tcPr>
          <w:p w14:paraId="2A690CF0" w14:textId="77777777" w:rsidR="001B362E" w:rsidRDefault="001C1D7A">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B2217C0" w14:textId="77777777" w:rsidR="001B362E" w:rsidRDefault="001C1D7A">
            <w:pPr>
              <w:keepNext/>
              <w:keepLines/>
              <w:spacing w:after="0" w:line="240" w:lineRule="auto"/>
            </w:pPr>
            <w:r>
              <w:rPr>
                <w:sz w:val="18"/>
              </w:rPr>
              <w:t>5</w:t>
            </w:r>
          </w:p>
        </w:tc>
        <w:tc>
          <w:tcPr>
            <w:tcW w:w="1860" w:type="dxa"/>
            <w:tcMar>
              <w:top w:w="0" w:type="dxa"/>
              <w:bottom w:w="0" w:type="dxa"/>
            </w:tcMar>
            <w:vAlign w:val="center"/>
          </w:tcPr>
          <w:p w14:paraId="05F5DBF2" w14:textId="77777777" w:rsidR="001B362E" w:rsidRDefault="001C1D7A">
            <w:pPr>
              <w:keepNext/>
              <w:keepLines/>
              <w:spacing w:after="0" w:line="240" w:lineRule="auto"/>
              <w:jc w:val="right"/>
            </w:pPr>
            <w:r>
              <w:rPr>
                <w:sz w:val="18"/>
              </w:rPr>
              <w:t>250.000,00</w:t>
            </w:r>
          </w:p>
        </w:tc>
        <w:tc>
          <w:tcPr>
            <w:tcW w:w="1860" w:type="dxa"/>
            <w:tcMar>
              <w:top w:w="0" w:type="dxa"/>
              <w:bottom w:w="0" w:type="dxa"/>
            </w:tcMar>
            <w:vAlign w:val="center"/>
          </w:tcPr>
          <w:p w14:paraId="4403996C" w14:textId="77777777" w:rsidR="001B362E" w:rsidRDefault="001C1D7A">
            <w:pPr>
              <w:keepNext/>
              <w:keepLines/>
              <w:spacing w:after="0" w:line="240" w:lineRule="auto"/>
              <w:jc w:val="right"/>
            </w:pPr>
            <w:r>
              <w:rPr>
                <w:sz w:val="18"/>
              </w:rPr>
              <w:t>0,00</w:t>
            </w:r>
          </w:p>
        </w:tc>
        <w:tc>
          <w:tcPr>
            <w:tcW w:w="700" w:type="dxa"/>
            <w:tcMar>
              <w:top w:w="0" w:type="dxa"/>
              <w:bottom w:w="0" w:type="dxa"/>
            </w:tcMar>
            <w:vAlign w:val="center"/>
          </w:tcPr>
          <w:p w14:paraId="59219B26" w14:textId="77777777" w:rsidR="001B362E" w:rsidRDefault="001C1D7A">
            <w:pPr>
              <w:keepNext/>
              <w:keepLines/>
              <w:spacing w:after="0" w:line="240" w:lineRule="auto"/>
              <w:jc w:val="right"/>
            </w:pPr>
            <w:r>
              <w:rPr>
                <w:sz w:val="18"/>
              </w:rPr>
              <w:t>0</w:t>
            </w:r>
          </w:p>
        </w:tc>
      </w:tr>
      <w:tr w:rsidR="001B362E" w14:paraId="641623F6" w14:textId="77777777">
        <w:tblPrEx>
          <w:tblCellMar>
            <w:top w:w="0" w:type="dxa"/>
            <w:bottom w:w="0" w:type="dxa"/>
          </w:tblCellMar>
        </w:tblPrEx>
        <w:trPr>
          <w:cantSplit/>
          <w:trHeight w:val="560"/>
        </w:trPr>
        <w:tc>
          <w:tcPr>
            <w:tcW w:w="700" w:type="dxa"/>
            <w:tcMar>
              <w:top w:w="0" w:type="dxa"/>
              <w:bottom w:w="0" w:type="dxa"/>
            </w:tcMar>
            <w:vAlign w:val="center"/>
          </w:tcPr>
          <w:p w14:paraId="25608F0F" w14:textId="77777777" w:rsidR="001B362E" w:rsidRDefault="001B362E">
            <w:pPr>
              <w:keepNext/>
              <w:keepLines/>
              <w:spacing w:after="0" w:line="240" w:lineRule="auto"/>
            </w:pPr>
          </w:p>
        </w:tc>
        <w:tc>
          <w:tcPr>
            <w:tcW w:w="3180" w:type="dxa"/>
            <w:tcMar>
              <w:top w:w="0" w:type="dxa"/>
              <w:bottom w:w="0" w:type="dxa"/>
            </w:tcMar>
            <w:vAlign w:val="center"/>
          </w:tcPr>
          <w:p w14:paraId="045CF238" w14:textId="77777777" w:rsidR="001B362E" w:rsidRDefault="001C1D7A">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7CC4F18F" w14:textId="77777777" w:rsidR="001B362E" w:rsidRDefault="001C1D7A">
            <w:pPr>
              <w:keepNext/>
              <w:keepLines/>
              <w:spacing w:after="0" w:line="240" w:lineRule="auto"/>
            </w:pPr>
            <w:r>
              <w:rPr>
                <w:b/>
                <w:sz w:val="18"/>
              </w:rPr>
              <w:t>X003</w:t>
            </w:r>
          </w:p>
        </w:tc>
        <w:tc>
          <w:tcPr>
            <w:tcW w:w="1860" w:type="dxa"/>
            <w:tcMar>
              <w:top w:w="0" w:type="dxa"/>
              <w:bottom w:w="0" w:type="dxa"/>
            </w:tcMar>
            <w:vAlign w:val="center"/>
          </w:tcPr>
          <w:p w14:paraId="2A73E307" w14:textId="77777777" w:rsidR="001B362E" w:rsidRDefault="001C1D7A">
            <w:pPr>
              <w:keepNext/>
              <w:keepLines/>
              <w:spacing w:after="0" w:line="240" w:lineRule="auto"/>
              <w:jc w:val="right"/>
            </w:pPr>
            <w:r>
              <w:rPr>
                <w:b/>
                <w:sz w:val="18"/>
              </w:rPr>
              <w:t>0,00</w:t>
            </w:r>
          </w:p>
        </w:tc>
        <w:tc>
          <w:tcPr>
            <w:tcW w:w="1860" w:type="dxa"/>
            <w:tcMar>
              <w:top w:w="0" w:type="dxa"/>
              <w:bottom w:w="0" w:type="dxa"/>
            </w:tcMar>
            <w:vAlign w:val="center"/>
          </w:tcPr>
          <w:p w14:paraId="3AD9428F" w14:textId="77777777" w:rsidR="001B362E" w:rsidRDefault="001C1D7A">
            <w:pPr>
              <w:keepNext/>
              <w:keepLines/>
              <w:spacing w:after="0" w:line="240" w:lineRule="auto"/>
              <w:jc w:val="right"/>
            </w:pPr>
            <w:r>
              <w:rPr>
                <w:b/>
                <w:sz w:val="18"/>
              </w:rPr>
              <w:t>259.875,00</w:t>
            </w:r>
          </w:p>
        </w:tc>
        <w:tc>
          <w:tcPr>
            <w:tcW w:w="700" w:type="dxa"/>
            <w:tcMar>
              <w:top w:w="0" w:type="dxa"/>
              <w:bottom w:w="0" w:type="dxa"/>
            </w:tcMar>
            <w:vAlign w:val="center"/>
          </w:tcPr>
          <w:p w14:paraId="3BDB3893" w14:textId="77777777" w:rsidR="001B362E" w:rsidRDefault="001C1D7A">
            <w:pPr>
              <w:keepNext/>
              <w:keepLines/>
              <w:spacing w:after="0" w:line="240" w:lineRule="auto"/>
              <w:jc w:val="right"/>
            </w:pPr>
            <w:r>
              <w:rPr>
                <w:b/>
                <w:sz w:val="18"/>
              </w:rPr>
              <w:t>-</w:t>
            </w:r>
          </w:p>
        </w:tc>
      </w:tr>
      <w:tr w:rsidR="001B362E" w14:paraId="33092B55" w14:textId="77777777">
        <w:tblPrEx>
          <w:tblCellMar>
            <w:top w:w="0" w:type="dxa"/>
            <w:bottom w:w="0" w:type="dxa"/>
          </w:tblCellMar>
        </w:tblPrEx>
        <w:trPr>
          <w:cantSplit/>
          <w:trHeight w:val="560"/>
        </w:trPr>
        <w:tc>
          <w:tcPr>
            <w:tcW w:w="700" w:type="dxa"/>
            <w:tcMar>
              <w:top w:w="0" w:type="dxa"/>
              <w:bottom w:w="0" w:type="dxa"/>
            </w:tcMar>
            <w:vAlign w:val="center"/>
          </w:tcPr>
          <w:p w14:paraId="406E75ED" w14:textId="77777777" w:rsidR="001B362E" w:rsidRDefault="001B362E">
            <w:pPr>
              <w:keepNext/>
              <w:keepLines/>
              <w:spacing w:after="0" w:line="240" w:lineRule="auto"/>
            </w:pPr>
          </w:p>
        </w:tc>
        <w:tc>
          <w:tcPr>
            <w:tcW w:w="3180" w:type="dxa"/>
            <w:tcMar>
              <w:top w:w="0" w:type="dxa"/>
              <w:bottom w:w="0" w:type="dxa"/>
            </w:tcMar>
            <w:vAlign w:val="center"/>
          </w:tcPr>
          <w:p w14:paraId="68AECB9A" w14:textId="77777777" w:rsidR="001B362E" w:rsidRDefault="001C1D7A">
            <w:pPr>
              <w:keepNext/>
              <w:keepLines/>
              <w:spacing w:after="0" w:line="240" w:lineRule="auto"/>
            </w:pPr>
            <w:r>
              <w:rPr>
                <w:b/>
                <w:sz w:val="18"/>
              </w:rPr>
              <w:t>MANJAK PRIHODA I PRIMITAKA (šifre Y345-X678)</w:t>
            </w:r>
          </w:p>
        </w:tc>
        <w:tc>
          <w:tcPr>
            <w:tcW w:w="700" w:type="dxa"/>
            <w:tcMar>
              <w:top w:w="0" w:type="dxa"/>
              <w:bottom w:w="0" w:type="dxa"/>
            </w:tcMar>
            <w:vAlign w:val="center"/>
          </w:tcPr>
          <w:p w14:paraId="14C5D03A" w14:textId="77777777" w:rsidR="001B362E" w:rsidRDefault="001C1D7A">
            <w:pPr>
              <w:keepNext/>
              <w:keepLines/>
              <w:spacing w:after="0" w:line="240" w:lineRule="auto"/>
            </w:pPr>
            <w:r>
              <w:rPr>
                <w:b/>
                <w:sz w:val="18"/>
              </w:rPr>
              <w:t>Y005</w:t>
            </w:r>
          </w:p>
        </w:tc>
        <w:tc>
          <w:tcPr>
            <w:tcW w:w="1860" w:type="dxa"/>
            <w:tcMar>
              <w:top w:w="0" w:type="dxa"/>
              <w:bottom w:w="0" w:type="dxa"/>
            </w:tcMar>
            <w:vAlign w:val="center"/>
          </w:tcPr>
          <w:p w14:paraId="03D20F86" w14:textId="77777777" w:rsidR="001B362E" w:rsidRDefault="001C1D7A">
            <w:pPr>
              <w:keepNext/>
              <w:keepLines/>
              <w:spacing w:after="0" w:line="240" w:lineRule="auto"/>
              <w:jc w:val="right"/>
            </w:pPr>
            <w:r>
              <w:rPr>
                <w:b/>
                <w:sz w:val="18"/>
              </w:rPr>
              <w:t>0,00</w:t>
            </w:r>
          </w:p>
        </w:tc>
        <w:tc>
          <w:tcPr>
            <w:tcW w:w="1860" w:type="dxa"/>
            <w:tcMar>
              <w:top w:w="0" w:type="dxa"/>
              <w:bottom w:w="0" w:type="dxa"/>
            </w:tcMar>
            <w:vAlign w:val="center"/>
          </w:tcPr>
          <w:p w14:paraId="2CAA41FA" w14:textId="77777777" w:rsidR="001B362E" w:rsidRDefault="001C1D7A">
            <w:pPr>
              <w:keepNext/>
              <w:keepLines/>
              <w:spacing w:after="0" w:line="240" w:lineRule="auto"/>
              <w:jc w:val="right"/>
            </w:pPr>
            <w:r>
              <w:rPr>
                <w:b/>
                <w:sz w:val="18"/>
              </w:rPr>
              <w:t>1.190.772,00</w:t>
            </w:r>
          </w:p>
        </w:tc>
        <w:tc>
          <w:tcPr>
            <w:tcW w:w="700" w:type="dxa"/>
            <w:tcMar>
              <w:top w:w="0" w:type="dxa"/>
              <w:bottom w:w="0" w:type="dxa"/>
            </w:tcMar>
            <w:vAlign w:val="center"/>
          </w:tcPr>
          <w:p w14:paraId="1AB1D370" w14:textId="77777777" w:rsidR="001B362E" w:rsidRDefault="001C1D7A">
            <w:pPr>
              <w:keepNext/>
              <w:keepLines/>
              <w:spacing w:after="0" w:line="240" w:lineRule="auto"/>
              <w:jc w:val="right"/>
            </w:pPr>
            <w:r>
              <w:rPr>
                <w:b/>
                <w:sz w:val="18"/>
              </w:rPr>
              <w:t>-</w:t>
            </w:r>
          </w:p>
        </w:tc>
      </w:tr>
    </w:tbl>
    <w:p w14:paraId="01D025D6" w14:textId="77777777" w:rsidR="001B362E" w:rsidRDefault="001B362E">
      <w:pPr>
        <w:spacing w:after="0"/>
      </w:pPr>
    </w:p>
    <w:p w14:paraId="294840EF" w14:textId="77777777" w:rsidR="001B362E" w:rsidRDefault="001C1D7A">
      <w:r>
        <w:t>Razina 23 - Konsolidirani proračun</w:t>
      </w:r>
    </w:p>
    <w:p w14:paraId="53EFE186" w14:textId="77777777" w:rsidR="001B362E" w:rsidRDefault="001C1D7A">
      <w:r>
        <w:t>Grad Otok ima 4 proračunska korisnika. Proračunski korisnici su:</w:t>
      </w:r>
    </w:p>
    <w:p w14:paraId="34ABB436" w14:textId="77777777" w:rsidR="001B362E" w:rsidRDefault="001C1D7A">
      <w:pPr>
        <w:pStyle w:val="Odlomakpopisa"/>
        <w:numPr>
          <w:ilvl w:val="0"/>
          <w:numId w:val="1"/>
        </w:numPr>
      </w:pPr>
      <w:r>
        <w:rPr>
          <w:b/>
        </w:rPr>
        <w:t>Dječji vrtić Pupoljak, Trg kralja Tomislava 3, Otok.</w:t>
      </w:r>
    </w:p>
    <w:p w14:paraId="3A2D4FFD" w14:textId="77777777" w:rsidR="001B362E" w:rsidRDefault="001C1D7A">
      <w:r>
        <w:t>RPK: 36803 </w:t>
      </w:r>
    </w:p>
    <w:p w14:paraId="7762649D" w14:textId="77777777" w:rsidR="001B362E" w:rsidRDefault="001C1D7A">
      <w:r>
        <w:t>MB: 01112694</w:t>
      </w:r>
    </w:p>
    <w:p w14:paraId="14BAD4B9" w14:textId="77777777" w:rsidR="001B362E" w:rsidRDefault="001C1D7A">
      <w:r>
        <w:lastRenderedPageBreak/>
        <w:t>OIB: 67232380750</w:t>
      </w:r>
    </w:p>
    <w:p w14:paraId="5E7F7015" w14:textId="77777777" w:rsidR="001B362E" w:rsidRDefault="001C1D7A">
      <w:r>
        <w:t>Djelatnost: 8510</w:t>
      </w:r>
    </w:p>
    <w:p w14:paraId="59FBBC48" w14:textId="77777777" w:rsidR="001B362E" w:rsidRDefault="001C1D7A">
      <w:r>
        <w:t xml:space="preserve">      </w:t>
      </w:r>
      <w:r>
        <w:rPr>
          <w:b/>
        </w:rPr>
        <w:t>2.  Otočka razvojna agencija, Trg kralja Tomislava 6/A, Otok</w:t>
      </w:r>
    </w:p>
    <w:p w14:paraId="2972EA27" w14:textId="77777777" w:rsidR="001B362E" w:rsidRDefault="001C1D7A">
      <w:r>
        <w:t>RKP: 48517</w:t>
      </w:r>
    </w:p>
    <w:p w14:paraId="388DA566" w14:textId="77777777" w:rsidR="001B362E" w:rsidRDefault="001C1D7A">
      <w:r>
        <w:t>MB: 0470002</w:t>
      </w:r>
    </w:p>
    <w:p w14:paraId="2D0EFB9E" w14:textId="77777777" w:rsidR="001B362E" w:rsidRDefault="001C1D7A">
      <w:r>
        <w:t>OIB: 58318175329</w:t>
      </w:r>
    </w:p>
    <w:p w14:paraId="32D7B3C4" w14:textId="77777777" w:rsidR="001B362E" w:rsidRDefault="001C1D7A">
      <w:r>
        <w:t>Djelatnost: 7022</w:t>
      </w:r>
    </w:p>
    <w:p w14:paraId="1818381A" w14:textId="77777777" w:rsidR="001B362E" w:rsidRDefault="001C1D7A">
      <w:r>
        <w:rPr>
          <w:b/>
        </w:rPr>
        <w:t>      3. Ustanova Virovi, Trg kralja Tomislava 6/A, Otok.</w:t>
      </w:r>
    </w:p>
    <w:p w14:paraId="742D0560" w14:textId="77777777" w:rsidR="001B362E" w:rsidRDefault="001C1D7A">
      <w:r>
        <w:t>RKP: 51492</w:t>
      </w:r>
    </w:p>
    <w:p w14:paraId="7E341C19" w14:textId="77777777" w:rsidR="001B362E" w:rsidRDefault="001C1D7A">
      <w:r>
        <w:t>MB: 05171393</w:t>
      </w:r>
    </w:p>
    <w:p w14:paraId="3026DE66" w14:textId="77777777" w:rsidR="001B362E" w:rsidRDefault="001C1D7A">
      <w:r>
        <w:t>OIB: 50041632287</w:t>
      </w:r>
    </w:p>
    <w:p w14:paraId="5E2EB782" w14:textId="77777777" w:rsidR="001B362E" w:rsidRDefault="001C1D7A">
      <w:r>
        <w:t>Djelatnost: 9104</w:t>
      </w:r>
    </w:p>
    <w:p w14:paraId="4142E8DE" w14:textId="77777777" w:rsidR="001B362E" w:rsidRDefault="001C1D7A">
      <w:r>
        <w:t>      4. Gradska knjižnica Otok, Trg kralja Tomislava 6/A, Otok</w:t>
      </w:r>
    </w:p>
    <w:p w14:paraId="3EEC630B" w14:textId="77777777" w:rsidR="001B362E" w:rsidRDefault="001C1D7A">
      <w:r>
        <w:t>RPK: 48138</w:t>
      </w:r>
    </w:p>
    <w:p w14:paraId="0DA06109" w14:textId="77777777" w:rsidR="001B362E" w:rsidRDefault="001C1D7A">
      <w:r>
        <w:t>MB: 03141985</w:t>
      </w:r>
    </w:p>
    <w:p w14:paraId="5CB7470C" w14:textId="77777777" w:rsidR="001B362E" w:rsidRDefault="001C1D7A">
      <w:r>
        <w:t>OIB: 85520625901</w:t>
      </w:r>
    </w:p>
    <w:p w14:paraId="7E2D7AB6" w14:textId="77777777" w:rsidR="001B362E" w:rsidRDefault="001C1D7A">
      <w:r>
        <w:t>Djelatnost: 9101</w:t>
      </w:r>
    </w:p>
    <w:p w14:paraId="31C992C7" w14:textId="77777777" w:rsidR="001B362E" w:rsidRDefault="001C1D7A">
      <w:r>
        <w:t>Grad Otok i proračunski korisnici u razdoblju od 1.1. do 31.12. 2025. godine ostvarili su ukupne prihode i primitke u iznosu od 6.686.215,91 eura.</w:t>
      </w:r>
    </w:p>
    <w:p w14:paraId="1D109D1C" w14:textId="77777777" w:rsidR="001B362E" w:rsidRDefault="001C1D7A">
      <w:r>
        <w:t>Grad Otok i proračunski korisnici u razdoblju od 1.1. do 31.12. 2025. godine ostvarili su ukupne rashode i izdatke u iznosu od 7.876.987,91 eura. </w:t>
      </w:r>
    </w:p>
    <w:p w14:paraId="2167F338" w14:textId="77777777" w:rsidR="001B362E" w:rsidRDefault="001C1D7A">
      <w:r>
        <w:t> </w:t>
      </w:r>
    </w:p>
    <w:p w14:paraId="2BEA8017" w14:textId="77777777" w:rsidR="001B362E" w:rsidRDefault="001C1D7A">
      <w:r>
        <w:br/>
      </w:r>
    </w:p>
    <w:p w14:paraId="5E40B68A" w14:textId="77777777" w:rsidR="001B362E" w:rsidRDefault="001C1D7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3103213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A7B135"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3463FBC"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07BDFA"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0FFFE1"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D84655"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50F24CB" w14:textId="77777777" w:rsidR="001B362E" w:rsidRDefault="001C1D7A">
            <w:pPr>
              <w:keepNext/>
              <w:keepLines/>
              <w:spacing w:after="0" w:line="240" w:lineRule="auto"/>
              <w:jc w:val="center"/>
            </w:pPr>
            <w:r>
              <w:rPr>
                <w:b/>
                <w:sz w:val="18"/>
              </w:rPr>
              <w:t>Indeks (%)</w:t>
            </w:r>
          </w:p>
        </w:tc>
      </w:tr>
      <w:tr w:rsidR="001B362E" w14:paraId="3ACFDA8A" w14:textId="77777777">
        <w:tblPrEx>
          <w:tblCellMar>
            <w:top w:w="0" w:type="dxa"/>
            <w:bottom w:w="0" w:type="dxa"/>
          </w:tblCellMar>
        </w:tblPrEx>
        <w:trPr>
          <w:cantSplit/>
          <w:trHeight w:val="560"/>
        </w:trPr>
        <w:tc>
          <w:tcPr>
            <w:tcW w:w="700" w:type="dxa"/>
            <w:tcMar>
              <w:top w:w="0" w:type="dxa"/>
              <w:bottom w:w="0" w:type="dxa"/>
            </w:tcMar>
            <w:vAlign w:val="center"/>
          </w:tcPr>
          <w:p w14:paraId="601F026A" w14:textId="77777777" w:rsidR="001B362E" w:rsidRDefault="001C1D7A">
            <w:pPr>
              <w:keepNext/>
              <w:keepLines/>
              <w:spacing w:after="0" w:line="240" w:lineRule="auto"/>
            </w:pPr>
            <w:r>
              <w:rPr>
                <w:sz w:val="18"/>
              </w:rPr>
              <w:t>61</w:t>
            </w:r>
          </w:p>
        </w:tc>
        <w:tc>
          <w:tcPr>
            <w:tcW w:w="3180" w:type="dxa"/>
            <w:tcMar>
              <w:top w:w="0" w:type="dxa"/>
              <w:bottom w:w="0" w:type="dxa"/>
            </w:tcMar>
            <w:vAlign w:val="center"/>
          </w:tcPr>
          <w:p w14:paraId="20AC93DF" w14:textId="77777777" w:rsidR="001B362E" w:rsidRDefault="001C1D7A">
            <w:pPr>
              <w:keepNext/>
              <w:keepLines/>
              <w:spacing w:after="0" w:line="240" w:lineRule="auto"/>
            </w:pPr>
            <w:r>
              <w:rPr>
                <w:sz w:val="18"/>
              </w:rPr>
              <w:t>Prihodi od poreza (šifre 611+612+613+614+615+616)</w:t>
            </w:r>
          </w:p>
        </w:tc>
        <w:tc>
          <w:tcPr>
            <w:tcW w:w="700" w:type="dxa"/>
            <w:tcMar>
              <w:top w:w="0" w:type="dxa"/>
              <w:bottom w:w="0" w:type="dxa"/>
            </w:tcMar>
            <w:vAlign w:val="center"/>
          </w:tcPr>
          <w:p w14:paraId="17B1930D" w14:textId="77777777" w:rsidR="001B362E" w:rsidRDefault="001C1D7A">
            <w:pPr>
              <w:keepNext/>
              <w:keepLines/>
              <w:spacing w:after="0" w:line="240" w:lineRule="auto"/>
            </w:pPr>
            <w:r>
              <w:rPr>
                <w:sz w:val="18"/>
              </w:rPr>
              <w:t>61</w:t>
            </w:r>
          </w:p>
        </w:tc>
        <w:tc>
          <w:tcPr>
            <w:tcW w:w="1860" w:type="dxa"/>
            <w:tcMar>
              <w:top w:w="0" w:type="dxa"/>
              <w:bottom w:w="0" w:type="dxa"/>
            </w:tcMar>
            <w:vAlign w:val="center"/>
          </w:tcPr>
          <w:p w14:paraId="126326AD" w14:textId="77777777" w:rsidR="001B362E" w:rsidRDefault="001C1D7A">
            <w:pPr>
              <w:keepNext/>
              <w:keepLines/>
              <w:spacing w:after="0" w:line="240" w:lineRule="auto"/>
              <w:jc w:val="right"/>
            </w:pPr>
            <w:r>
              <w:rPr>
                <w:sz w:val="18"/>
              </w:rPr>
              <w:t>1.447.815,88</w:t>
            </w:r>
          </w:p>
        </w:tc>
        <w:tc>
          <w:tcPr>
            <w:tcW w:w="1860" w:type="dxa"/>
            <w:tcMar>
              <w:top w:w="0" w:type="dxa"/>
              <w:bottom w:w="0" w:type="dxa"/>
            </w:tcMar>
            <w:vAlign w:val="center"/>
          </w:tcPr>
          <w:p w14:paraId="00CF833C" w14:textId="77777777" w:rsidR="001B362E" w:rsidRDefault="001C1D7A">
            <w:pPr>
              <w:keepNext/>
              <w:keepLines/>
              <w:spacing w:after="0" w:line="240" w:lineRule="auto"/>
              <w:jc w:val="right"/>
            </w:pPr>
            <w:r>
              <w:rPr>
                <w:sz w:val="18"/>
              </w:rPr>
              <w:t>1.582.936,64</w:t>
            </w:r>
          </w:p>
        </w:tc>
        <w:tc>
          <w:tcPr>
            <w:tcW w:w="700" w:type="dxa"/>
            <w:tcMar>
              <w:top w:w="0" w:type="dxa"/>
              <w:bottom w:w="0" w:type="dxa"/>
            </w:tcMar>
            <w:vAlign w:val="center"/>
          </w:tcPr>
          <w:p w14:paraId="33EA33BE" w14:textId="77777777" w:rsidR="001B362E" w:rsidRDefault="001C1D7A">
            <w:pPr>
              <w:keepNext/>
              <w:keepLines/>
              <w:spacing w:after="0" w:line="240" w:lineRule="auto"/>
              <w:jc w:val="right"/>
            </w:pPr>
            <w:r>
              <w:rPr>
                <w:sz w:val="18"/>
              </w:rPr>
              <w:t>109,3</w:t>
            </w:r>
          </w:p>
        </w:tc>
      </w:tr>
    </w:tbl>
    <w:p w14:paraId="52FFAF4B" w14:textId="77777777" w:rsidR="001B362E" w:rsidRDefault="001B362E">
      <w:pPr>
        <w:spacing w:after="0"/>
      </w:pPr>
    </w:p>
    <w:p w14:paraId="35F4B999" w14:textId="77777777" w:rsidR="001B362E" w:rsidRDefault="001C1D7A">
      <w:r>
        <w:t>Prihodi na kontu 61 prihodi od poreza veći su za 9,3 % u odnosu na realizaciju u 2024. godini, a odnose se na nadležni proračun.</w:t>
      </w:r>
    </w:p>
    <w:p w14:paraId="0880E4E6" w14:textId="77777777" w:rsidR="001B362E" w:rsidRDefault="001B362E"/>
    <w:p w14:paraId="53D9F583" w14:textId="77777777" w:rsidR="001B362E" w:rsidRDefault="001C1D7A">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1D0076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AC9800"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7502A0A"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69AD28"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24A41C"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B89212"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C8BCD1" w14:textId="77777777" w:rsidR="001B362E" w:rsidRDefault="001C1D7A">
            <w:pPr>
              <w:keepNext/>
              <w:keepLines/>
              <w:spacing w:after="0" w:line="240" w:lineRule="auto"/>
              <w:jc w:val="center"/>
            </w:pPr>
            <w:r>
              <w:rPr>
                <w:b/>
                <w:sz w:val="18"/>
              </w:rPr>
              <w:t>Indeks (%)</w:t>
            </w:r>
          </w:p>
        </w:tc>
      </w:tr>
      <w:tr w:rsidR="001B362E" w14:paraId="633B179A" w14:textId="77777777">
        <w:tblPrEx>
          <w:tblCellMar>
            <w:top w:w="0" w:type="dxa"/>
            <w:bottom w:w="0" w:type="dxa"/>
          </w:tblCellMar>
        </w:tblPrEx>
        <w:trPr>
          <w:cantSplit/>
          <w:trHeight w:val="560"/>
        </w:trPr>
        <w:tc>
          <w:tcPr>
            <w:tcW w:w="700" w:type="dxa"/>
            <w:tcMar>
              <w:top w:w="0" w:type="dxa"/>
              <w:bottom w:w="0" w:type="dxa"/>
            </w:tcMar>
            <w:vAlign w:val="center"/>
          </w:tcPr>
          <w:p w14:paraId="35D16DF2" w14:textId="77777777" w:rsidR="001B362E" w:rsidRDefault="001C1D7A">
            <w:pPr>
              <w:keepNext/>
              <w:keepLines/>
              <w:spacing w:after="0" w:line="240" w:lineRule="auto"/>
            </w:pPr>
            <w:r>
              <w:rPr>
                <w:sz w:val="18"/>
              </w:rPr>
              <w:t>63</w:t>
            </w:r>
          </w:p>
        </w:tc>
        <w:tc>
          <w:tcPr>
            <w:tcW w:w="3180" w:type="dxa"/>
            <w:tcMar>
              <w:top w:w="0" w:type="dxa"/>
              <w:bottom w:w="0" w:type="dxa"/>
            </w:tcMar>
            <w:vAlign w:val="center"/>
          </w:tcPr>
          <w:p w14:paraId="3E73AB84" w14:textId="77777777" w:rsidR="001B362E" w:rsidRDefault="001C1D7A">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7687AF2E" w14:textId="77777777" w:rsidR="001B362E" w:rsidRDefault="001C1D7A">
            <w:pPr>
              <w:keepNext/>
              <w:keepLines/>
              <w:spacing w:after="0" w:line="240" w:lineRule="auto"/>
            </w:pPr>
            <w:r>
              <w:rPr>
                <w:sz w:val="18"/>
              </w:rPr>
              <w:t>63</w:t>
            </w:r>
          </w:p>
        </w:tc>
        <w:tc>
          <w:tcPr>
            <w:tcW w:w="1860" w:type="dxa"/>
            <w:tcMar>
              <w:top w:w="0" w:type="dxa"/>
              <w:bottom w:w="0" w:type="dxa"/>
            </w:tcMar>
            <w:vAlign w:val="center"/>
          </w:tcPr>
          <w:p w14:paraId="4E587BCF" w14:textId="77777777" w:rsidR="001B362E" w:rsidRDefault="001C1D7A">
            <w:pPr>
              <w:keepNext/>
              <w:keepLines/>
              <w:spacing w:after="0" w:line="240" w:lineRule="auto"/>
              <w:jc w:val="right"/>
            </w:pPr>
            <w:r>
              <w:rPr>
                <w:sz w:val="18"/>
              </w:rPr>
              <w:t>2.203.109,39</w:t>
            </w:r>
          </w:p>
        </w:tc>
        <w:tc>
          <w:tcPr>
            <w:tcW w:w="1860" w:type="dxa"/>
            <w:tcMar>
              <w:top w:w="0" w:type="dxa"/>
              <w:bottom w:w="0" w:type="dxa"/>
            </w:tcMar>
            <w:vAlign w:val="center"/>
          </w:tcPr>
          <w:p w14:paraId="33929708" w14:textId="77777777" w:rsidR="001B362E" w:rsidRDefault="001C1D7A">
            <w:pPr>
              <w:keepNext/>
              <w:keepLines/>
              <w:spacing w:after="0" w:line="240" w:lineRule="auto"/>
              <w:jc w:val="right"/>
            </w:pPr>
            <w:r>
              <w:rPr>
                <w:sz w:val="18"/>
              </w:rPr>
              <w:t>2.716.532,62</w:t>
            </w:r>
          </w:p>
        </w:tc>
        <w:tc>
          <w:tcPr>
            <w:tcW w:w="700" w:type="dxa"/>
            <w:tcMar>
              <w:top w:w="0" w:type="dxa"/>
              <w:bottom w:w="0" w:type="dxa"/>
            </w:tcMar>
            <w:vAlign w:val="center"/>
          </w:tcPr>
          <w:p w14:paraId="19B8D7CA" w14:textId="77777777" w:rsidR="001B362E" w:rsidRDefault="001C1D7A">
            <w:pPr>
              <w:keepNext/>
              <w:keepLines/>
              <w:spacing w:after="0" w:line="240" w:lineRule="auto"/>
              <w:jc w:val="right"/>
            </w:pPr>
            <w:r>
              <w:rPr>
                <w:sz w:val="18"/>
              </w:rPr>
              <w:t>123,3</w:t>
            </w:r>
          </w:p>
        </w:tc>
      </w:tr>
    </w:tbl>
    <w:p w14:paraId="6D056A20" w14:textId="77777777" w:rsidR="001B362E" w:rsidRDefault="001B362E">
      <w:pPr>
        <w:spacing w:after="0"/>
      </w:pPr>
    </w:p>
    <w:p w14:paraId="03C53F25" w14:textId="77777777" w:rsidR="001B362E" w:rsidRDefault="001C1D7A">
      <w:r>
        <w:t xml:space="preserve">Prihodi od pomoći na kontu 63 su veći za 23,3 % u odnosu na 2024. godinu, zbog većeg ostvarenja kapitalnih pomoći iz državnog proračuna, te pomoći iz državnog proračuna temeljem prijenosa EU sredstava. Gradska knjižnica Otok na kontu 63 ostvarila je pomoći iz inozemstva i od subjekata unutar općeg proračuna 14.200,00 eura. </w:t>
      </w:r>
      <w:proofErr w:type="spellStart"/>
      <w:r>
        <w:t>Djećji</w:t>
      </w:r>
      <w:proofErr w:type="spellEnd"/>
      <w:r>
        <w:t xml:space="preserve"> vrtić Pupoljak na kontu 63 ostvario je pomoći iz inozemstva i od subjekata unutar općeg proračuna 304.049,82 eura. </w:t>
      </w:r>
    </w:p>
    <w:p w14:paraId="4114291C" w14:textId="77777777" w:rsidR="001B362E" w:rsidRDefault="001B362E"/>
    <w:p w14:paraId="3D79F9A1" w14:textId="77777777" w:rsidR="001B362E" w:rsidRDefault="001C1D7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3ADB8D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6A62E5"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6090A9"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9A4FFB"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FB0695"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D385705"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6F534E" w14:textId="77777777" w:rsidR="001B362E" w:rsidRDefault="001C1D7A">
            <w:pPr>
              <w:keepNext/>
              <w:keepLines/>
              <w:spacing w:after="0" w:line="240" w:lineRule="auto"/>
              <w:jc w:val="center"/>
            </w:pPr>
            <w:r>
              <w:rPr>
                <w:b/>
                <w:sz w:val="18"/>
              </w:rPr>
              <w:t>Indeks (%)</w:t>
            </w:r>
          </w:p>
        </w:tc>
      </w:tr>
      <w:tr w:rsidR="001B362E" w14:paraId="603BC564" w14:textId="77777777">
        <w:tblPrEx>
          <w:tblCellMar>
            <w:top w:w="0" w:type="dxa"/>
            <w:bottom w:w="0" w:type="dxa"/>
          </w:tblCellMar>
        </w:tblPrEx>
        <w:trPr>
          <w:cantSplit/>
          <w:trHeight w:val="560"/>
        </w:trPr>
        <w:tc>
          <w:tcPr>
            <w:tcW w:w="700" w:type="dxa"/>
            <w:tcMar>
              <w:top w:w="0" w:type="dxa"/>
              <w:bottom w:w="0" w:type="dxa"/>
            </w:tcMar>
            <w:vAlign w:val="center"/>
          </w:tcPr>
          <w:p w14:paraId="13DC1A10" w14:textId="77777777" w:rsidR="001B362E" w:rsidRDefault="001C1D7A">
            <w:pPr>
              <w:keepNext/>
              <w:keepLines/>
              <w:spacing w:after="0" w:line="240" w:lineRule="auto"/>
            </w:pPr>
            <w:r>
              <w:rPr>
                <w:sz w:val="18"/>
              </w:rPr>
              <w:t>64</w:t>
            </w:r>
          </w:p>
        </w:tc>
        <w:tc>
          <w:tcPr>
            <w:tcW w:w="3180" w:type="dxa"/>
            <w:tcMar>
              <w:top w:w="0" w:type="dxa"/>
              <w:bottom w:w="0" w:type="dxa"/>
            </w:tcMar>
            <w:vAlign w:val="center"/>
          </w:tcPr>
          <w:p w14:paraId="7DE0A5CF" w14:textId="77777777" w:rsidR="001B362E" w:rsidRDefault="001C1D7A">
            <w:pPr>
              <w:keepNext/>
              <w:keepLines/>
              <w:spacing w:after="0" w:line="240" w:lineRule="auto"/>
            </w:pPr>
            <w:r>
              <w:rPr>
                <w:sz w:val="18"/>
              </w:rPr>
              <w:t>Prihodi od imovine (šifre 641+642+643)</w:t>
            </w:r>
          </w:p>
        </w:tc>
        <w:tc>
          <w:tcPr>
            <w:tcW w:w="700" w:type="dxa"/>
            <w:tcMar>
              <w:top w:w="0" w:type="dxa"/>
              <w:bottom w:w="0" w:type="dxa"/>
            </w:tcMar>
            <w:vAlign w:val="center"/>
          </w:tcPr>
          <w:p w14:paraId="2E45F9C6" w14:textId="77777777" w:rsidR="001B362E" w:rsidRDefault="001C1D7A">
            <w:pPr>
              <w:keepNext/>
              <w:keepLines/>
              <w:spacing w:after="0" w:line="240" w:lineRule="auto"/>
            </w:pPr>
            <w:r>
              <w:rPr>
                <w:sz w:val="18"/>
              </w:rPr>
              <w:t>64</w:t>
            </w:r>
          </w:p>
        </w:tc>
        <w:tc>
          <w:tcPr>
            <w:tcW w:w="1860" w:type="dxa"/>
            <w:tcMar>
              <w:top w:w="0" w:type="dxa"/>
              <w:bottom w:w="0" w:type="dxa"/>
            </w:tcMar>
            <w:vAlign w:val="center"/>
          </w:tcPr>
          <w:p w14:paraId="4D8BF945" w14:textId="77777777" w:rsidR="001B362E" w:rsidRDefault="001C1D7A">
            <w:pPr>
              <w:keepNext/>
              <w:keepLines/>
              <w:spacing w:after="0" w:line="240" w:lineRule="auto"/>
              <w:jc w:val="right"/>
            </w:pPr>
            <w:r>
              <w:rPr>
                <w:sz w:val="18"/>
              </w:rPr>
              <w:t>421.844,12</w:t>
            </w:r>
          </w:p>
        </w:tc>
        <w:tc>
          <w:tcPr>
            <w:tcW w:w="1860" w:type="dxa"/>
            <w:tcMar>
              <w:top w:w="0" w:type="dxa"/>
              <w:bottom w:w="0" w:type="dxa"/>
            </w:tcMar>
            <w:vAlign w:val="center"/>
          </w:tcPr>
          <w:p w14:paraId="0DE6ABD4" w14:textId="77777777" w:rsidR="001B362E" w:rsidRDefault="001C1D7A">
            <w:pPr>
              <w:keepNext/>
              <w:keepLines/>
              <w:spacing w:after="0" w:line="240" w:lineRule="auto"/>
              <w:jc w:val="right"/>
            </w:pPr>
            <w:r>
              <w:rPr>
                <w:sz w:val="18"/>
              </w:rPr>
              <w:t>362.108,85</w:t>
            </w:r>
          </w:p>
        </w:tc>
        <w:tc>
          <w:tcPr>
            <w:tcW w:w="700" w:type="dxa"/>
            <w:tcMar>
              <w:top w:w="0" w:type="dxa"/>
              <w:bottom w:w="0" w:type="dxa"/>
            </w:tcMar>
            <w:vAlign w:val="center"/>
          </w:tcPr>
          <w:p w14:paraId="655A9CBC" w14:textId="77777777" w:rsidR="001B362E" w:rsidRDefault="001C1D7A">
            <w:pPr>
              <w:keepNext/>
              <w:keepLines/>
              <w:spacing w:after="0" w:line="240" w:lineRule="auto"/>
              <w:jc w:val="right"/>
            </w:pPr>
            <w:r>
              <w:rPr>
                <w:sz w:val="18"/>
              </w:rPr>
              <w:t>85,8</w:t>
            </w:r>
          </w:p>
        </w:tc>
      </w:tr>
    </w:tbl>
    <w:p w14:paraId="70107926" w14:textId="77777777" w:rsidR="001B362E" w:rsidRDefault="001B362E">
      <w:pPr>
        <w:spacing w:after="0"/>
      </w:pPr>
    </w:p>
    <w:p w14:paraId="43048F41" w14:textId="77777777" w:rsidR="001B362E" w:rsidRDefault="001C1D7A">
      <w:r>
        <w:t>Prihod na kontu 64 prihodi od imovine manji su za 14,2 % u odnosu na realizaciju u 2024. godini, zbog manjeg prihoda za zakup javne površine, naknada za zadržavanje nezakonito izrađenih građevina, prihod od zakupa poljoprivrednog zemljišta te prihod od zakupa iznajmljivanja imovine, a odnose se na nadležni proračun.</w:t>
      </w:r>
    </w:p>
    <w:p w14:paraId="20F8928C" w14:textId="77777777" w:rsidR="001B362E" w:rsidRDefault="001B362E"/>
    <w:p w14:paraId="7B1AC7D8" w14:textId="77777777" w:rsidR="001B362E" w:rsidRDefault="001C1D7A">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1D1CAC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D719225"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0065D8"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FBF20"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63F62E"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E82E76"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4B2023" w14:textId="77777777" w:rsidR="001B362E" w:rsidRDefault="001C1D7A">
            <w:pPr>
              <w:keepNext/>
              <w:keepLines/>
              <w:spacing w:after="0" w:line="240" w:lineRule="auto"/>
              <w:jc w:val="center"/>
            </w:pPr>
            <w:r>
              <w:rPr>
                <w:b/>
                <w:sz w:val="18"/>
              </w:rPr>
              <w:t>Indeks (%)</w:t>
            </w:r>
          </w:p>
        </w:tc>
      </w:tr>
      <w:tr w:rsidR="001B362E" w14:paraId="1AB18287" w14:textId="77777777">
        <w:tblPrEx>
          <w:tblCellMar>
            <w:top w:w="0" w:type="dxa"/>
            <w:bottom w:w="0" w:type="dxa"/>
          </w:tblCellMar>
        </w:tblPrEx>
        <w:trPr>
          <w:cantSplit/>
          <w:trHeight w:val="560"/>
        </w:trPr>
        <w:tc>
          <w:tcPr>
            <w:tcW w:w="700" w:type="dxa"/>
            <w:tcMar>
              <w:top w:w="0" w:type="dxa"/>
              <w:bottom w:w="0" w:type="dxa"/>
            </w:tcMar>
            <w:vAlign w:val="center"/>
          </w:tcPr>
          <w:p w14:paraId="7006A698" w14:textId="77777777" w:rsidR="001B362E" w:rsidRDefault="001C1D7A">
            <w:pPr>
              <w:keepNext/>
              <w:keepLines/>
              <w:spacing w:after="0" w:line="240" w:lineRule="auto"/>
            </w:pPr>
            <w:r>
              <w:rPr>
                <w:sz w:val="18"/>
              </w:rPr>
              <w:t>65</w:t>
            </w:r>
          </w:p>
        </w:tc>
        <w:tc>
          <w:tcPr>
            <w:tcW w:w="3180" w:type="dxa"/>
            <w:tcMar>
              <w:top w:w="0" w:type="dxa"/>
              <w:bottom w:w="0" w:type="dxa"/>
            </w:tcMar>
            <w:vAlign w:val="center"/>
          </w:tcPr>
          <w:p w14:paraId="4A320A68" w14:textId="77777777" w:rsidR="001B362E" w:rsidRDefault="001C1D7A">
            <w:pPr>
              <w:keepNext/>
              <w:keepLines/>
              <w:spacing w:after="0" w:line="240" w:lineRule="auto"/>
            </w:pPr>
            <w:r>
              <w:rPr>
                <w:sz w:val="18"/>
              </w:rPr>
              <w:t>Prihodi od upravnih i administrativnih pristojbi, pristojbi po posebnim propisima i naknada (šifre 651+652+653+654)</w:t>
            </w:r>
          </w:p>
        </w:tc>
        <w:tc>
          <w:tcPr>
            <w:tcW w:w="700" w:type="dxa"/>
            <w:tcMar>
              <w:top w:w="0" w:type="dxa"/>
              <w:bottom w:w="0" w:type="dxa"/>
            </w:tcMar>
            <w:vAlign w:val="center"/>
          </w:tcPr>
          <w:p w14:paraId="7CC614EA" w14:textId="77777777" w:rsidR="001B362E" w:rsidRDefault="001C1D7A">
            <w:pPr>
              <w:keepNext/>
              <w:keepLines/>
              <w:spacing w:after="0" w:line="240" w:lineRule="auto"/>
            </w:pPr>
            <w:r>
              <w:rPr>
                <w:sz w:val="18"/>
              </w:rPr>
              <w:t>65</w:t>
            </w:r>
          </w:p>
        </w:tc>
        <w:tc>
          <w:tcPr>
            <w:tcW w:w="1860" w:type="dxa"/>
            <w:tcMar>
              <w:top w:w="0" w:type="dxa"/>
              <w:bottom w:w="0" w:type="dxa"/>
            </w:tcMar>
            <w:vAlign w:val="center"/>
          </w:tcPr>
          <w:p w14:paraId="561D4CBE" w14:textId="77777777" w:rsidR="001B362E" w:rsidRDefault="001C1D7A">
            <w:pPr>
              <w:keepNext/>
              <w:keepLines/>
              <w:spacing w:after="0" w:line="240" w:lineRule="auto"/>
              <w:jc w:val="right"/>
            </w:pPr>
            <w:r>
              <w:rPr>
                <w:sz w:val="18"/>
              </w:rPr>
              <w:t>5.227.455,69</w:t>
            </w:r>
          </w:p>
        </w:tc>
        <w:tc>
          <w:tcPr>
            <w:tcW w:w="1860" w:type="dxa"/>
            <w:tcMar>
              <w:top w:w="0" w:type="dxa"/>
              <w:bottom w:w="0" w:type="dxa"/>
            </w:tcMar>
            <w:vAlign w:val="center"/>
          </w:tcPr>
          <w:p w14:paraId="3D15F90E" w14:textId="77777777" w:rsidR="001B362E" w:rsidRDefault="001C1D7A">
            <w:pPr>
              <w:keepNext/>
              <w:keepLines/>
              <w:spacing w:after="0" w:line="240" w:lineRule="auto"/>
              <w:jc w:val="right"/>
            </w:pPr>
            <w:r>
              <w:rPr>
                <w:sz w:val="18"/>
              </w:rPr>
              <w:t>1.146.959,96</w:t>
            </w:r>
          </w:p>
        </w:tc>
        <w:tc>
          <w:tcPr>
            <w:tcW w:w="700" w:type="dxa"/>
            <w:tcMar>
              <w:top w:w="0" w:type="dxa"/>
              <w:bottom w:w="0" w:type="dxa"/>
            </w:tcMar>
            <w:vAlign w:val="center"/>
          </w:tcPr>
          <w:p w14:paraId="0F00545F" w14:textId="77777777" w:rsidR="001B362E" w:rsidRDefault="001C1D7A">
            <w:pPr>
              <w:keepNext/>
              <w:keepLines/>
              <w:spacing w:after="0" w:line="240" w:lineRule="auto"/>
              <w:jc w:val="right"/>
            </w:pPr>
            <w:r>
              <w:rPr>
                <w:sz w:val="18"/>
              </w:rPr>
              <w:t>21,9</w:t>
            </w:r>
          </w:p>
        </w:tc>
      </w:tr>
    </w:tbl>
    <w:p w14:paraId="26E9297F" w14:textId="77777777" w:rsidR="001B362E" w:rsidRDefault="001B362E">
      <w:pPr>
        <w:spacing w:after="0"/>
      </w:pPr>
    </w:p>
    <w:p w14:paraId="59E9A64E" w14:textId="77777777" w:rsidR="001B362E" w:rsidRDefault="001C1D7A">
      <w:r>
        <w:t>Prihod na kontu 65 prihodi od upravnih i administrativnih pristojbi, pristojbi po posebnim propisima i naknada manji su za 79,10 % u odnosu na 2024. godini, zbog smanjenja realizacije šumskog doprinosa. U 2024. godini Grad Otok ostvarivao je veće prihode šumskog doprinosa zbog elementarne nepogode koja se dogodila u 2023. godini zbog olujnog i orkanskog vjetra, a odnosi se na nadležni proračun. </w:t>
      </w:r>
    </w:p>
    <w:p w14:paraId="739DEEE0" w14:textId="77777777" w:rsidR="001B362E" w:rsidRDefault="001C1D7A">
      <w:r>
        <w:t>Dječji vrtić Pupoljak na kontu 65 ostvario je povećanje prihod od upravnih i administrativnih pristojbi, pristojbi po posebnim propisima i naknada.</w:t>
      </w:r>
    </w:p>
    <w:p w14:paraId="0CE200D6" w14:textId="77777777" w:rsidR="001B362E" w:rsidRDefault="001B362E"/>
    <w:p w14:paraId="5546D627" w14:textId="77777777" w:rsidR="001B362E" w:rsidRDefault="001C1D7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07714B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9269CA"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0F13922"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129A384"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72FAD0"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0CBAB3"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636D9F" w14:textId="77777777" w:rsidR="001B362E" w:rsidRDefault="001C1D7A">
            <w:pPr>
              <w:keepNext/>
              <w:keepLines/>
              <w:spacing w:after="0" w:line="240" w:lineRule="auto"/>
              <w:jc w:val="center"/>
            </w:pPr>
            <w:r>
              <w:rPr>
                <w:b/>
                <w:sz w:val="18"/>
              </w:rPr>
              <w:t>Indeks (%)</w:t>
            </w:r>
          </w:p>
        </w:tc>
      </w:tr>
      <w:tr w:rsidR="001B362E" w14:paraId="522E6CCF" w14:textId="77777777">
        <w:tblPrEx>
          <w:tblCellMar>
            <w:top w:w="0" w:type="dxa"/>
            <w:bottom w:w="0" w:type="dxa"/>
          </w:tblCellMar>
        </w:tblPrEx>
        <w:trPr>
          <w:cantSplit/>
          <w:trHeight w:val="560"/>
        </w:trPr>
        <w:tc>
          <w:tcPr>
            <w:tcW w:w="700" w:type="dxa"/>
            <w:tcMar>
              <w:top w:w="0" w:type="dxa"/>
              <w:bottom w:w="0" w:type="dxa"/>
            </w:tcMar>
            <w:vAlign w:val="center"/>
          </w:tcPr>
          <w:p w14:paraId="2071CAD3" w14:textId="77777777" w:rsidR="001B362E" w:rsidRDefault="001C1D7A">
            <w:pPr>
              <w:keepNext/>
              <w:keepLines/>
              <w:spacing w:after="0" w:line="240" w:lineRule="auto"/>
            </w:pPr>
            <w:r>
              <w:rPr>
                <w:sz w:val="18"/>
              </w:rPr>
              <w:t>31</w:t>
            </w:r>
          </w:p>
        </w:tc>
        <w:tc>
          <w:tcPr>
            <w:tcW w:w="3180" w:type="dxa"/>
            <w:tcMar>
              <w:top w:w="0" w:type="dxa"/>
              <w:bottom w:w="0" w:type="dxa"/>
            </w:tcMar>
            <w:vAlign w:val="center"/>
          </w:tcPr>
          <w:p w14:paraId="487ECE5A" w14:textId="77777777" w:rsidR="001B362E" w:rsidRDefault="001C1D7A">
            <w:pPr>
              <w:keepNext/>
              <w:keepLines/>
              <w:spacing w:after="0" w:line="240" w:lineRule="auto"/>
            </w:pPr>
            <w:r>
              <w:rPr>
                <w:sz w:val="18"/>
              </w:rPr>
              <w:t>Rashodi za zaposlene (šifre 311+312+313)</w:t>
            </w:r>
          </w:p>
        </w:tc>
        <w:tc>
          <w:tcPr>
            <w:tcW w:w="700" w:type="dxa"/>
            <w:tcMar>
              <w:top w:w="0" w:type="dxa"/>
              <w:bottom w:w="0" w:type="dxa"/>
            </w:tcMar>
            <w:vAlign w:val="center"/>
          </w:tcPr>
          <w:p w14:paraId="43BF3A65" w14:textId="77777777" w:rsidR="001B362E" w:rsidRDefault="001C1D7A">
            <w:pPr>
              <w:keepNext/>
              <w:keepLines/>
              <w:spacing w:after="0" w:line="240" w:lineRule="auto"/>
            </w:pPr>
            <w:r>
              <w:rPr>
                <w:sz w:val="18"/>
              </w:rPr>
              <w:t>31</w:t>
            </w:r>
          </w:p>
        </w:tc>
        <w:tc>
          <w:tcPr>
            <w:tcW w:w="1860" w:type="dxa"/>
            <w:tcMar>
              <w:top w:w="0" w:type="dxa"/>
              <w:bottom w:w="0" w:type="dxa"/>
            </w:tcMar>
            <w:vAlign w:val="center"/>
          </w:tcPr>
          <w:p w14:paraId="1A301D85" w14:textId="77777777" w:rsidR="001B362E" w:rsidRDefault="001C1D7A">
            <w:pPr>
              <w:keepNext/>
              <w:keepLines/>
              <w:spacing w:after="0" w:line="240" w:lineRule="auto"/>
              <w:jc w:val="right"/>
            </w:pPr>
            <w:r>
              <w:rPr>
                <w:sz w:val="18"/>
              </w:rPr>
              <w:t>1.655.540,58</w:t>
            </w:r>
          </w:p>
        </w:tc>
        <w:tc>
          <w:tcPr>
            <w:tcW w:w="1860" w:type="dxa"/>
            <w:tcMar>
              <w:top w:w="0" w:type="dxa"/>
              <w:bottom w:w="0" w:type="dxa"/>
            </w:tcMar>
            <w:vAlign w:val="center"/>
          </w:tcPr>
          <w:p w14:paraId="42E92F37" w14:textId="77777777" w:rsidR="001B362E" w:rsidRDefault="001C1D7A">
            <w:pPr>
              <w:keepNext/>
              <w:keepLines/>
              <w:spacing w:after="0" w:line="240" w:lineRule="auto"/>
              <w:jc w:val="right"/>
            </w:pPr>
            <w:r>
              <w:rPr>
                <w:sz w:val="18"/>
              </w:rPr>
              <w:t>2.718.327,01</w:t>
            </w:r>
          </w:p>
        </w:tc>
        <w:tc>
          <w:tcPr>
            <w:tcW w:w="700" w:type="dxa"/>
            <w:tcMar>
              <w:top w:w="0" w:type="dxa"/>
              <w:bottom w:w="0" w:type="dxa"/>
            </w:tcMar>
            <w:vAlign w:val="center"/>
          </w:tcPr>
          <w:p w14:paraId="06C517CB" w14:textId="77777777" w:rsidR="001B362E" w:rsidRDefault="001C1D7A">
            <w:pPr>
              <w:keepNext/>
              <w:keepLines/>
              <w:spacing w:after="0" w:line="240" w:lineRule="auto"/>
              <w:jc w:val="right"/>
            </w:pPr>
            <w:r>
              <w:rPr>
                <w:sz w:val="18"/>
              </w:rPr>
              <w:t>164,2</w:t>
            </w:r>
          </w:p>
        </w:tc>
      </w:tr>
    </w:tbl>
    <w:p w14:paraId="5A112587" w14:textId="77777777" w:rsidR="001B362E" w:rsidRDefault="001B362E">
      <w:pPr>
        <w:spacing w:after="0"/>
      </w:pPr>
    </w:p>
    <w:p w14:paraId="5ED98E33" w14:textId="77777777" w:rsidR="001B362E" w:rsidRDefault="001C1D7A">
      <w:r>
        <w:t>Na kontu rashoda 31 rashodi za zaposlene veći su 64,2 % u odnosu na 2024. godinu, zbog povećanja osnovice za obračun plaće službenika i namještenika Grada Otoka te osoba koje rade na projektu Zaželi za Otok. Isto tako došlo je do povećanja osnovica kod proračunskih korisnika, što je rezultiralo povećanjem rashoda.</w:t>
      </w:r>
    </w:p>
    <w:p w14:paraId="5B31126B" w14:textId="77777777" w:rsidR="001B362E" w:rsidRDefault="001B362E"/>
    <w:p w14:paraId="049C6F30" w14:textId="77777777" w:rsidR="001B362E" w:rsidRDefault="001C1D7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2792B3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622F87"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1C5EC2A"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01E1D9"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0421AD9"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0CC893"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77B61F" w14:textId="77777777" w:rsidR="001B362E" w:rsidRDefault="001C1D7A">
            <w:pPr>
              <w:keepNext/>
              <w:keepLines/>
              <w:spacing w:after="0" w:line="240" w:lineRule="auto"/>
              <w:jc w:val="center"/>
            </w:pPr>
            <w:r>
              <w:rPr>
                <w:b/>
                <w:sz w:val="18"/>
              </w:rPr>
              <w:t>Indeks (%)</w:t>
            </w:r>
          </w:p>
        </w:tc>
      </w:tr>
      <w:tr w:rsidR="001B362E" w14:paraId="31152EE8" w14:textId="77777777">
        <w:tblPrEx>
          <w:tblCellMar>
            <w:top w:w="0" w:type="dxa"/>
            <w:bottom w:w="0" w:type="dxa"/>
          </w:tblCellMar>
        </w:tblPrEx>
        <w:trPr>
          <w:cantSplit/>
          <w:trHeight w:val="560"/>
        </w:trPr>
        <w:tc>
          <w:tcPr>
            <w:tcW w:w="700" w:type="dxa"/>
            <w:tcMar>
              <w:top w:w="0" w:type="dxa"/>
              <w:bottom w:w="0" w:type="dxa"/>
            </w:tcMar>
            <w:vAlign w:val="center"/>
          </w:tcPr>
          <w:p w14:paraId="420B98CD" w14:textId="77777777" w:rsidR="001B362E" w:rsidRDefault="001C1D7A">
            <w:pPr>
              <w:keepNext/>
              <w:keepLines/>
              <w:spacing w:after="0" w:line="240" w:lineRule="auto"/>
            </w:pPr>
            <w:r>
              <w:rPr>
                <w:sz w:val="18"/>
              </w:rPr>
              <w:t>32</w:t>
            </w:r>
          </w:p>
        </w:tc>
        <w:tc>
          <w:tcPr>
            <w:tcW w:w="3180" w:type="dxa"/>
            <w:tcMar>
              <w:top w:w="0" w:type="dxa"/>
              <w:bottom w:w="0" w:type="dxa"/>
            </w:tcMar>
            <w:vAlign w:val="center"/>
          </w:tcPr>
          <w:p w14:paraId="51F1D70C" w14:textId="77777777" w:rsidR="001B362E" w:rsidRDefault="001C1D7A">
            <w:pPr>
              <w:keepNext/>
              <w:keepLines/>
              <w:spacing w:after="0" w:line="240" w:lineRule="auto"/>
            </w:pPr>
            <w:r>
              <w:rPr>
                <w:sz w:val="18"/>
              </w:rPr>
              <w:t>Materijalni rashodi (šifre 321+322+323+324+325+329)</w:t>
            </w:r>
          </w:p>
        </w:tc>
        <w:tc>
          <w:tcPr>
            <w:tcW w:w="700" w:type="dxa"/>
            <w:tcMar>
              <w:top w:w="0" w:type="dxa"/>
              <w:bottom w:w="0" w:type="dxa"/>
            </w:tcMar>
            <w:vAlign w:val="center"/>
          </w:tcPr>
          <w:p w14:paraId="45D3DAC0" w14:textId="77777777" w:rsidR="001B362E" w:rsidRDefault="001C1D7A">
            <w:pPr>
              <w:keepNext/>
              <w:keepLines/>
              <w:spacing w:after="0" w:line="240" w:lineRule="auto"/>
            </w:pPr>
            <w:r>
              <w:rPr>
                <w:sz w:val="18"/>
              </w:rPr>
              <w:t>32</w:t>
            </w:r>
          </w:p>
        </w:tc>
        <w:tc>
          <w:tcPr>
            <w:tcW w:w="1860" w:type="dxa"/>
            <w:tcMar>
              <w:top w:w="0" w:type="dxa"/>
              <w:bottom w:w="0" w:type="dxa"/>
            </w:tcMar>
            <w:vAlign w:val="center"/>
          </w:tcPr>
          <w:p w14:paraId="6B7BC719" w14:textId="77777777" w:rsidR="001B362E" w:rsidRDefault="001C1D7A">
            <w:pPr>
              <w:keepNext/>
              <w:keepLines/>
              <w:spacing w:after="0" w:line="240" w:lineRule="auto"/>
              <w:jc w:val="right"/>
            </w:pPr>
            <w:r>
              <w:rPr>
                <w:sz w:val="18"/>
              </w:rPr>
              <w:t>1.619.760,97</w:t>
            </w:r>
          </w:p>
        </w:tc>
        <w:tc>
          <w:tcPr>
            <w:tcW w:w="1860" w:type="dxa"/>
            <w:tcMar>
              <w:top w:w="0" w:type="dxa"/>
              <w:bottom w:w="0" w:type="dxa"/>
            </w:tcMar>
            <w:vAlign w:val="center"/>
          </w:tcPr>
          <w:p w14:paraId="0691F1A3" w14:textId="77777777" w:rsidR="001B362E" w:rsidRDefault="001C1D7A">
            <w:pPr>
              <w:keepNext/>
              <w:keepLines/>
              <w:spacing w:after="0" w:line="240" w:lineRule="auto"/>
              <w:jc w:val="right"/>
            </w:pPr>
            <w:r>
              <w:rPr>
                <w:sz w:val="18"/>
              </w:rPr>
              <w:t>2.334.108,09</w:t>
            </w:r>
          </w:p>
        </w:tc>
        <w:tc>
          <w:tcPr>
            <w:tcW w:w="700" w:type="dxa"/>
            <w:tcMar>
              <w:top w:w="0" w:type="dxa"/>
              <w:bottom w:w="0" w:type="dxa"/>
            </w:tcMar>
            <w:vAlign w:val="center"/>
          </w:tcPr>
          <w:p w14:paraId="27EFAEE4" w14:textId="77777777" w:rsidR="001B362E" w:rsidRDefault="001C1D7A">
            <w:pPr>
              <w:keepNext/>
              <w:keepLines/>
              <w:spacing w:after="0" w:line="240" w:lineRule="auto"/>
              <w:jc w:val="right"/>
            </w:pPr>
            <w:r>
              <w:rPr>
                <w:sz w:val="18"/>
              </w:rPr>
              <w:t>144,1</w:t>
            </w:r>
          </w:p>
        </w:tc>
      </w:tr>
    </w:tbl>
    <w:p w14:paraId="14B5381A" w14:textId="77777777" w:rsidR="001B362E" w:rsidRDefault="001B362E">
      <w:pPr>
        <w:spacing w:after="0"/>
      </w:pPr>
    </w:p>
    <w:p w14:paraId="0735EB4E" w14:textId="77777777" w:rsidR="001B362E" w:rsidRDefault="001C1D7A">
      <w:r>
        <w:t>Na kontu 32 materijalni rashodi povećani su za 44,1 % u odnosu na 2024. godinu, zbog povećanja cijene energenata i inflacije. Povećanje rashoda odnosi se na nadležni proračun i proračunske korisnike.</w:t>
      </w:r>
    </w:p>
    <w:p w14:paraId="3A90C91B" w14:textId="77777777" w:rsidR="001B362E" w:rsidRDefault="001B362E"/>
    <w:p w14:paraId="5F7FEC5F" w14:textId="77777777" w:rsidR="001B362E" w:rsidRDefault="001C1D7A">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538C80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9BD100"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9ADDAB1"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ABB582"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5F03C8"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20FB67"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597FE7" w14:textId="77777777" w:rsidR="001B362E" w:rsidRDefault="001C1D7A">
            <w:pPr>
              <w:keepNext/>
              <w:keepLines/>
              <w:spacing w:after="0" w:line="240" w:lineRule="auto"/>
              <w:jc w:val="center"/>
            </w:pPr>
            <w:r>
              <w:rPr>
                <w:b/>
                <w:sz w:val="18"/>
              </w:rPr>
              <w:t>Indeks (%)</w:t>
            </w:r>
          </w:p>
        </w:tc>
      </w:tr>
      <w:tr w:rsidR="001B362E" w14:paraId="20BCA550" w14:textId="77777777">
        <w:tblPrEx>
          <w:tblCellMar>
            <w:top w:w="0" w:type="dxa"/>
            <w:bottom w:w="0" w:type="dxa"/>
          </w:tblCellMar>
        </w:tblPrEx>
        <w:trPr>
          <w:cantSplit/>
          <w:trHeight w:val="560"/>
        </w:trPr>
        <w:tc>
          <w:tcPr>
            <w:tcW w:w="700" w:type="dxa"/>
            <w:tcMar>
              <w:top w:w="0" w:type="dxa"/>
              <w:bottom w:w="0" w:type="dxa"/>
            </w:tcMar>
            <w:vAlign w:val="center"/>
          </w:tcPr>
          <w:p w14:paraId="5028E38B" w14:textId="77777777" w:rsidR="001B362E" w:rsidRDefault="001C1D7A">
            <w:pPr>
              <w:keepNext/>
              <w:keepLines/>
              <w:spacing w:after="0" w:line="240" w:lineRule="auto"/>
            </w:pPr>
            <w:r>
              <w:rPr>
                <w:sz w:val="18"/>
              </w:rPr>
              <w:t>322</w:t>
            </w:r>
          </w:p>
        </w:tc>
        <w:tc>
          <w:tcPr>
            <w:tcW w:w="3180" w:type="dxa"/>
            <w:tcMar>
              <w:top w:w="0" w:type="dxa"/>
              <w:bottom w:w="0" w:type="dxa"/>
            </w:tcMar>
            <w:vAlign w:val="center"/>
          </w:tcPr>
          <w:p w14:paraId="4BAE1992" w14:textId="77777777" w:rsidR="001B362E" w:rsidRDefault="001C1D7A">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7117DA37" w14:textId="77777777" w:rsidR="001B362E" w:rsidRDefault="001C1D7A">
            <w:pPr>
              <w:keepNext/>
              <w:keepLines/>
              <w:spacing w:after="0" w:line="240" w:lineRule="auto"/>
            </w:pPr>
            <w:r>
              <w:rPr>
                <w:sz w:val="18"/>
              </w:rPr>
              <w:t>322</w:t>
            </w:r>
          </w:p>
        </w:tc>
        <w:tc>
          <w:tcPr>
            <w:tcW w:w="1860" w:type="dxa"/>
            <w:tcMar>
              <w:top w:w="0" w:type="dxa"/>
              <w:bottom w:w="0" w:type="dxa"/>
            </w:tcMar>
            <w:vAlign w:val="center"/>
          </w:tcPr>
          <w:p w14:paraId="3B1B6A90" w14:textId="77777777" w:rsidR="001B362E" w:rsidRDefault="001C1D7A">
            <w:pPr>
              <w:keepNext/>
              <w:keepLines/>
              <w:spacing w:after="0" w:line="240" w:lineRule="auto"/>
              <w:jc w:val="right"/>
            </w:pPr>
            <w:r>
              <w:rPr>
                <w:sz w:val="18"/>
              </w:rPr>
              <w:t>359.708,86</w:t>
            </w:r>
          </w:p>
        </w:tc>
        <w:tc>
          <w:tcPr>
            <w:tcW w:w="1860" w:type="dxa"/>
            <w:tcMar>
              <w:top w:w="0" w:type="dxa"/>
              <w:bottom w:w="0" w:type="dxa"/>
            </w:tcMar>
            <w:vAlign w:val="center"/>
          </w:tcPr>
          <w:p w14:paraId="25D3F673" w14:textId="77777777" w:rsidR="001B362E" w:rsidRDefault="001C1D7A">
            <w:pPr>
              <w:keepNext/>
              <w:keepLines/>
              <w:spacing w:after="0" w:line="240" w:lineRule="auto"/>
              <w:jc w:val="right"/>
            </w:pPr>
            <w:r>
              <w:rPr>
                <w:sz w:val="18"/>
              </w:rPr>
              <w:t>499.502,90</w:t>
            </w:r>
          </w:p>
        </w:tc>
        <w:tc>
          <w:tcPr>
            <w:tcW w:w="700" w:type="dxa"/>
            <w:tcMar>
              <w:top w:w="0" w:type="dxa"/>
              <w:bottom w:w="0" w:type="dxa"/>
            </w:tcMar>
            <w:vAlign w:val="center"/>
          </w:tcPr>
          <w:p w14:paraId="4FA24EFA" w14:textId="77777777" w:rsidR="001B362E" w:rsidRDefault="001C1D7A">
            <w:pPr>
              <w:keepNext/>
              <w:keepLines/>
              <w:spacing w:after="0" w:line="240" w:lineRule="auto"/>
              <w:jc w:val="right"/>
            </w:pPr>
            <w:r>
              <w:rPr>
                <w:sz w:val="18"/>
              </w:rPr>
              <w:t>138,9</w:t>
            </w:r>
          </w:p>
        </w:tc>
      </w:tr>
    </w:tbl>
    <w:p w14:paraId="001EB566" w14:textId="77777777" w:rsidR="001B362E" w:rsidRDefault="001B362E">
      <w:pPr>
        <w:spacing w:after="0"/>
      </w:pPr>
    </w:p>
    <w:p w14:paraId="3521BA89" w14:textId="77777777" w:rsidR="001B362E" w:rsidRDefault="001C1D7A">
      <w:r>
        <w:t>Rashodi na kontu 322 rashodi za materijal i energiju povećani su za 38,9 % u odnosu na 2024. godini, zbog povećane cijene energenata na tržištu. Povećanje rashoda odnosi na nadležni proračun i proračunske korisnike.</w:t>
      </w:r>
    </w:p>
    <w:p w14:paraId="69FDE140" w14:textId="77777777" w:rsidR="001B362E" w:rsidRDefault="001B362E"/>
    <w:p w14:paraId="4BB7476A" w14:textId="77777777" w:rsidR="001B362E" w:rsidRDefault="001C1D7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72FAFE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3B8E50"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CF86F9"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79FE95"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B288B58"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769A6B"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0EC07C" w14:textId="77777777" w:rsidR="001B362E" w:rsidRDefault="001C1D7A">
            <w:pPr>
              <w:keepNext/>
              <w:keepLines/>
              <w:spacing w:after="0" w:line="240" w:lineRule="auto"/>
              <w:jc w:val="center"/>
            </w:pPr>
            <w:r>
              <w:rPr>
                <w:b/>
                <w:sz w:val="18"/>
              </w:rPr>
              <w:t>Indeks (%)</w:t>
            </w:r>
          </w:p>
        </w:tc>
      </w:tr>
      <w:tr w:rsidR="001B362E" w14:paraId="5F286099" w14:textId="77777777">
        <w:tblPrEx>
          <w:tblCellMar>
            <w:top w:w="0" w:type="dxa"/>
            <w:bottom w:w="0" w:type="dxa"/>
          </w:tblCellMar>
        </w:tblPrEx>
        <w:trPr>
          <w:cantSplit/>
          <w:trHeight w:val="560"/>
        </w:trPr>
        <w:tc>
          <w:tcPr>
            <w:tcW w:w="700" w:type="dxa"/>
            <w:tcMar>
              <w:top w:w="0" w:type="dxa"/>
              <w:bottom w:w="0" w:type="dxa"/>
            </w:tcMar>
            <w:vAlign w:val="center"/>
          </w:tcPr>
          <w:p w14:paraId="220A3F4C" w14:textId="77777777" w:rsidR="001B362E" w:rsidRDefault="001C1D7A">
            <w:pPr>
              <w:keepNext/>
              <w:keepLines/>
              <w:spacing w:after="0" w:line="240" w:lineRule="auto"/>
            </w:pPr>
            <w:r>
              <w:rPr>
                <w:sz w:val="18"/>
              </w:rPr>
              <w:t>3221</w:t>
            </w:r>
          </w:p>
        </w:tc>
        <w:tc>
          <w:tcPr>
            <w:tcW w:w="3180" w:type="dxa"/>
            <w:tcMar>
              <w:top w:w="0" w:type="dxa"/>
              <w:bottom w:w="0" w:type="dxa"/>
            </w:tcMar>
            <w:vAlign w:val="center"/>
          </w:tcPr>
          <w:p w14:paraId="7E2AFC7B" w14:textId="77777777" w:rsidR="001B362E" w:rsidRDefault="001C1D7A">
            <w:pPr>
              <w:keepNext/>
              <w:keepLines/>
              <w:spacing w:after="0" w:line="240" w:lineRule="auto"/>
            </w:pPr>
            <w:r>
              <w:rPr>
                <w:sz w:val="18"/>
              </w:rPr>
              <w:t>Uredski materijal i ostali materijalni rashodi</w:t>
            </w:r>
          </w:p>
        </w:tc>
        <w:tc>
          <w:tcPr>
            <w:tcW w:w="700" w:type="dxa"/>
            <w:tcMar>
              <w:top w:w="0" w:type="dxa"/>
              <w:bottom w:w="0" w:type="dxa"/>
            </w:tcMar>
            <w:vAlign w:val="center"/>
          </w:tcPr>
          <w:p w14:paraId="5224EB86" w14:textId="77777777" w:rsidR="001B362E" w:rsidRDefault="001C1D7A">
            <w:pPr>
              <w:keepNext/>
              <w:keepLines/>
              <w:spacing w:after="0" w:line="240" w:lineRule="auto"/>
            </w:pPr>
            <w:r>
              <w:rPr>
                <w:sz w:val="18"/>
              </w:rPr>
              <w:t>3221</w:t>
            </w:r>
          </w:p>
        </w:tc>
        <w:tc>
          <w:tcPr>
            <w:tcW w:w="1860" w:type="dxa"/>
            <w:tcMar>
              <w:top w:w="0" w:type="dxa"/>
              <w:bottom w:w="0" w:type="dxa"/>
            </w:tcMar>
            <w:vAlign w:val="center"/>
          </w:tcPr>
          <w:p w14:paraId="6D6C62CC" w14:textId="77777777" w:rsidR="001B362E" w:rsidRDefault="001C1D7A">
            <w:pPr>
              <w:keepNext/>
              <w:keepLines/>
              <w:spacing w:after="0" w:line="240" w:lineRule="auto"/>
              <w:jc w:val="right"/>
            </w:pPr>
            <w:r>
              <w:rPr>
                <w:sz w:val="18"/>
              </w:rPr>
              <w:t>44.341,19</w:t>
            </w:r>
          </w:p>
        </w:tc>
        <w:tc>
          <w:tcPr>
            <w:tcW w:w="1860" w:type="dxa"/>
            <w:tcMar>
              <w:top w:w="0" w:type="dxa"/>
              <w:bottom w:w="0" w:type="dxa"/>
            </w:tcMar>
            <w:vAlign w:val="center"/>
          </w:tcPr>
          <w:p w14:paraId="72171442" w14:textId="77777777" w:rsidR="001B362E" w:rsidRDefault="001C1D7A">
            <w:pPr>
              <w:keepNext/>
              <w:keepLines/>
              <w:spacing w:after="0" w:line="240" w:lineRule="auto"/>
              <w:jc w:val="right"/>
            </w:pPr>
            <w:r>
              <w:rPr>
                <w:sz w:val="18"/>
              </w:rPr>
              <w:t>51.620,28</w:t>
            </w:r>
          </w:p>
        </w:tc>
        <w:tc>
          <w:tcPr>
            <w:tcW w:w="700" w:type="dxa"/>
            <w:tcMar>
              <w:top w:w="0" w:type="dxa"/>
              <w:bottom w:w="0" w:type="dxa"/>
            </w:tcMar>
            <w:vAlign w:val="center"/>
          </w:tcPr>
          <w:p w14:paraId="7A711465" w14:textId="77777777" w:rsidR="001B362E" w:rsidRDefault="001C1D7A">
            <w:pPr>
              <w:keepNext/>
              <w:keepLines/>
              <w:spacing w:after="0" w:line="240" w:lineRule="auto"/>
              <w:jc w:val="right"/>
            </w:pPr>
            <w:r>
              <w:rPr>
                <w:sz w:val="18"/>
              </w:rPr>
              <w:t>116,4</w:t>
            </w:r>
          </w:p>
        </w:tc>
      </w:tr>
    </w:tbl>
    <w:p w14:paraId="2B0EBBCE" w14:textId="77777777" w:rsidR="001B362E" w:rsidRDefault="001B362E">
      <w:pPr>
        <w:spacing w:after="0"/>
      </w:pPr>
    </w:p>
    <w:p w14:paraId="6F4788BA" w14:textId="77777777" w:rsidR="001B362E" w:rsidRDefault="001C1D7A">
      <w:r>
        <w:lastRenderedPageBreak/>
        <w:t>Rashodi na kontu 3221 uredski materijal i ostali materijalni rashodi povećani su za 16,4 % u odnosu na 2024. godini, zbog rashoda za potrebe programa Zaželi za Otok (materijal i sredstva za čišćenje domova od korisnika projekta). Trošak je financiran sredstvima EU. Povećanje rashoda se odnosi na nadležni proračun i proračunske korisnike.</w:t>
      </w:r>
    </w:p>
    <w:p w14:paraId="26553EEF" w14:textId="77777777" w:rsidR="001B362E" w:rsidRDefault="001B362E"/>
    <w:p w14:paraId="2F5C17F0" w14:textId="77777777" w:rsidR="001B362E" w:rsidRDefault="001C1D7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02F0901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0F261B"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35C46F"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BD9C16"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19AF97"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1720527"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3C8614" w14:textId="77777777" w:rsidR="001B362E" w:rsidRDefault="001C1D7A">
            <w:pPr>
              <w:keepNext/>
              <w:keepLines/>
              <w:spacing w:after="0" w:line="240" w:lineRule="auto"/>
              <w:jc w:val="center"/>
            </w:pPr>
            <w:r>
              <w:rPr>
                <w:b/>
                <w:sz w:val="18"/>
              </w:rPr>
              <w:t>Indeks (%)</w:t>
            </w:r>
          </w:p>
        </w:tc>
      </w:tr>
      <w:tr w:rsidR="001B362E" w14:paraId="30A4C075" w14:textId="77777777">
        <w:tblPrEx>
          <w:tblCellMar>
            <w:top w:w="0" w:type="dxa"/>
            <w:bottom w:w="0" w:type="dxa"/>
          </w:tblCellMar>
        </w:tblPrEx>
        <w:trPr>
          <w:cantSplit/>
          <w:trHeight w:val="560"/>
        </w:trPr>
        <w:tc>
          <w:tcPr>
            <w:tcW w:w="700" w:type="dxa"/>
            <w:tcMar>
              <w:top w:w="0" w:type="dxa"/>
              <w:bottom w:w="0" w:type="dxa"/>
            </w:tcMar>
            <w:vAlign w:val="center"/>
          </w:tcPr>
          <w:p w14:paraId="61D4D8F6" w14:textId="77777777" w:rsidR="001B362E" w:rsidRDefault="001C1D7A">
            <w:pPr>
              <w:keepNext/>
              <w:keepLines/>
              <w:spacing w:after="0" w:line="240" w:lineRule="auto"/>
            </w:pPr>
            <w:r>
              <w:rPr>
                <w:sz w:val="18"/>
              </w:rPr>
              <w:t>323</w:t>
            </w:r>
          </w:p>
        </w:tc>
        <w:tc>
          <w:tcPr>
            <w:tcW w:w="3180" w:type="dxa"/>
            <w:tcMar>
              <w:top w:w="0" w:type="dxa"/>
              <w:bottom w:w="0" w:type="dxa"/>
            </w:tcMar>
            <w:vAlign w:val="center"/>
          </w:tcPr>
          <w:p w14:paraId="3D9432F5" w14:textId="77777777" w:rsidR="001B362E" w:rsidRDefault="001C1D7A">
            <w:pPr>
              <w:keepNext/>
              <w:keepLines/>
              <w:spacing w:after="0" w:line="240" w:lineRule="auto"/>
            </w:pPr>
            <w:r>
              <w:rPr>
                <w:sz w:val="18"/>
              </w:rPr>
              <w:t>Rashodi za usluge (šifre 3231 do 3239)</w:t>
            </w:r>
          </w:p>
        </w:tc>
        <w:tc>
          <w:tcPr>
            <w:tcW w:w="700" w:type="dxa"/>
            <w:tcMar>
              <w:top w:w="0" w:type="dxa"/>
              <w:bottom w:w="0" w:type="dxa"/>
            </w:tcMar>
            <w:vAlign w:val="center"/>
          </w:tcPr>
          <w:p w14:paraId="7973A676" w14:textId="77777777" w:rsidR="001B362E" w:rsidRDefault="001C1D7A">
            <w:pPr>
              <w:keepNext/>
              <w:keepLines/>
              <w:spacing w:after="0" w:line="240" w:lineRule="auto"/>
            </w:pPr>
            <w:r>
              <w:rPr>
                <w:sz w:val="18"/>
              </w:rPr>
              <w:t>323</w:t>
            </w:r>
          </w:p>
        </w:tc>
        <w:tc>
          <w:tcPr>
            <w:tcW w:w="1860" w:type="dxa"/>
            <w:tcMar>
              <w:top w:w="0" w:type="dxa"/>
              <w:bottom w:w="0" w:type="dxa"/>
            </w:tcMar>
            <w:vAlign w:val="center"/>
          </w:tcPr>
          <w:p w14:paraId="64C5E551" w14:textId="77777777" w:rsidR="001B362E" w:rsidRDefault="001C1D7A">
            <w:pPr>
              <w:keepNext/>
              <w:keepLines/>
              <w:spacing w:after="0" w:line="240" w:lineRule="auto"/>
              <w:jc w:val="right"/>
            </w:pPr>
            <w:r>
              <w:rPr>
                <w:sz w:val="18"/>
              </w:rPr>
              <w:t>951.745,72</w:t>
            </w:r>
          </w:p>
        </w:tc>
        <w:tc>
          <w:tcPr>
            <w:tcW w:w="1860" w:type="dxa"/>
            <w:tcMar>
              <w:top w:w="0" w:type="dxa"/>
              <w:bottom w:w="0" w:type="dxa"/>
            </w:tcMar>
            <w:vAlign w:val="center"/>
          </w:tcPr>
          <w:p w14:paraId="16FB365C" w14:textId="77777777" w:rsidR="001B362E" w:rsidRDefault="001C1D7A">
            <w:pPr>
              <w:keepNext/>
              <w:keepLines/>
              <w:spacing w:after="0" w:line="240" w:lineRule="auto"/>
              <w:jc w:val="right"/>
            </w:pPr>
            <w:r>
              <w:rPr>
                <w:sz w:val="18"/>
              </w:rPr>
              <w:t>1.475.844,76</w:t>
            </w:r>
          </w:p>
        </w:tc>
        <w:tc>
          <w:tcPr>
            <w:tcW w:w="700" w:type="dxa"/>
            <w:tcMar>
              <w:top w:w="0" w:type="dxa"/>
              <w:bottom w:w="0" w:type="dxa"/>
            </w:tcMar>
            <w:vAlign w:val="center"/>
          </w:tcPr>
          <w:p w14:paraId="3E612A68" w14:textId="77777777" w:rsidR="001B362E" w:rsidRDefault="001C1D7A">
            <w:pPr>
              <w:keepNext/>
              <w:keepLines/>
              <w:spacing w:after="0" w:line="240" w:lineRule="auto"/>
              <w:jc w:val="right"/>
            </w:pPr>
            <w:r>
              <w:rPr>
                <w:sz w:val="18"/>
              </w:rPr>
              <w:t>155,1</w:t>
            </w:r>
          </w:p>
        </w:tc>
      </w:tr>
    </w:tbl>
    <w:p w14:paraId="3B7818D4" w14:textId="77777777" w:rsidR="001B362E" w:rsidRDefault="001B362E">
      <w:pPr>
        <w:spacing w:after="0"/>
      </w:pPr>
    </w:p>
    <w:p w14:paraId="095D4C12" w14:textId="01DB0873" w:rsidR="001B362E" w:rsidRDefault="001C1D7A">
      <w:r>
        <w:t>Rashodi na kontu 323 rashodi za usluge povećani su za 55,1 % u odnosu na 2024. godinu, zbog realizacije projekta sadnje stabala na gradskim ulicama, povećanja rashoda za održavanje komunalne infrastrukture,  povećanje rashoda za sanaciju poljskih puteva, održavanje kanalizacijske mreže te usluge tekućeg i investicijsko</w:t>
      </w:r>
      <w:r>
        <w:t>g održavanja postrojenja i opreme. Povećanje rashoda se odnosi na nadležni proračun i proračunske korisnike.</w:t>
      </w:r>
    </w:p>
    <w:p w14:paraId="5B3BF3DA" w14:textId="77777777" w:rsidR="001B362E" w:rsidRDefault="001B362E"/>
    <w:p w14:paraId="2606DD92" w14:textId="77777777" w:rsidR="001B362E" w:rsidRDefault="001C1D7A">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06776C4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6EE8AD"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E12F5A"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E28F4B"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A03D43"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B077D"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3AF937" w14:textId="77777777" w:rsidR="001B362E" w:rsidRDefault="001C1D7A">
            <w:pPr>
              <w:keepNext/>
              <w:keepLines/>
              <w:spacing w:after="0" w:line="240" w:lineRule="auto"/>
              <w:jc w:val="center"/>
            </w:pPr>
            <w:r>
              <w:rPr>
                <w:b/>
                <w:sz w:val="18"/>
              </w:rPr>
              <w:t>Indeks (%)</w:t>
            </w:r>
          </w:p>
        </w:tc>
      </w:tr>
      <w:tr w:rsidR="001B362E" w14:paraId="10A06015" w14:textId="77777777">
        <w:tblPrEx>
          <w:tblCellMar>
            <w:top w:w="0" w:type="dxa"/>
            <w:bottom w:w="0" w:type="dxa"/>
          </w:tblCellMar>
        </w:tblPrEx>
        <w:trPr>
          <w:cantSplit/>
          <w:trHeight w:val="560"/>
        </w:trPr>
        <w:tc>
          <w:tcPr>
            <w:tcW w:w="700" w:type="dxa"/>
            <w:tcMar>
              <w:top w:w="0" w:type="dxa"/>
              <w:bottom w:w="0" w:type="dxa"/>
            </w:tcMar>
            <w:vAlign w:val="center"/>
          </w:tcPr>
          <w:p w14:paraId="2E829E17" w14:textId="77777777" w:rsidR="001B362E" w:rsidRDefault="001C1D7A">
            <w:pPr>
              <w:keepNext/>
              <w:keepLines/>
              <w:spacing w:after="0" w:line="240" w:lineRule="auto"/>
            </w:pPr>
            <w:r>
              <w:rPr>
                <w:sz w:val="18"/>
              </w:rPr>
              <w:t>3234</w:t>
            </w:r>
          </w:p>
        </w:tc>
        <w:tc>
          <w:tcPr>
            <w:tcW w:w="3180" w:type="dxa"/>
            <w:tcMar>
              <w:top w:w="0" w:type="dxa"/>
              <w:bottom w:w="0" w:type="dxa"/>
            </w:tcMar>
            <w:vAlign w:val="center"/>
          </w:tcPr>
          <w:p w14:paraId="63F7A335" w14:textId="77777777" w:rsidR="001B362E" w:rsidRDefault="001C1D7A">
            <w:pPr>
              <w:keepNext/>
              <w:keepLines/>
              <w:spacing w:after="0" w:line="240" w:lineRule="auto"/>
            </w:pPr>
            <w:r>
              <w:rPr>
                <w:sz w:val="18"/>
              </w:rPr>
              <w:t>Komunalne usluge</w:t>
            </w:r>
          </w:p>
        </w:tc>
        <w:tc>
          <w:tcPr>
            <w:tcW w:w="700" w:type="dxa"/>
            <w:tcMar>
              <w:top w:w="0" w:type="dxa"/>
              <w:bottom w:w="0" w:type="dxa"/>
            </w:tcMar>
            <w:vAlign w:val="center"/>
          </w:tcPr>
          <w:p w14:paraId="2E3D13B4" w14:textId="77777777" w:rsidR="001B362E" w:rsidRDefault="001C1D7A">
            <w:pPr>
              <w:keepNext/>
              <w:keepLines/>
              <w:spacing w:after="0" w:line="240" w:lineRule="auto"/>
            </w:pPr>
            <w:r>
              <w:rPr>
                <w:sz w:val="18"/>
              </w:rPr>
              <w:t>3234</w:t>
            </w:r>
          </w:p>
        </w:tc>
        <w:tc>
          <w:tcPr>
            <w:tcW w:w="1860" w:type="dxa"/>
            <w:tcMar>
              <w:top w:w="0" w:type="dxa"/>
              <w:bottom w:w="0" w:type="dxa"/>
            </w:tcMar>
            <w:vAlign w:val="center"/>
          </w:tcPr>
          <w:p w14:paraId="7829A5FF" w14:textId="77777777" w:rsidR="001B362E" w:rsidRDefault="001C1D7A">
            <w:pPr>
              <w:keepNext/>
              <w:keepLines/>
              <w:spacing w:after="0" w:line="240" w:lineRule="auto"/>
              <w:jc w:val="right"/>
            </w:pPr>
            <w:r>
              <w:rPr>
                <w:sz w:val="18"/>
              </w:rPr>
              <w:t>520.698,56</w:t>
            </w:r>
          </w:p>
        </w:tc>
        <w:tc>
          <w:tcPr>
            <w:tcW w:w="1860" w:type="dxa"/>
            <w:tcMar>
              <w:top w:w="0" w:type="dxa"/>
              <w:bottom w:w="0" w:type="dxa"/>
            </w:tcMar>
            <w:vAlign w:val="center"/>
          </w:tcPr>
          <w:p w14:paraId="70D21E05" w14:textId="77777777" w:rsidR="001B362E" w:rsidRDefault="001C1D7A">
            <w:pPr>
              <w:keepNext/>
              <w:keepLines/>
              <w:spacing w:after="0" w:line="240" w:lineRule="auto"/>
              <w:jc w:val="right"/>
            </w:pPr>
            <w:r>
              <w:rPr>
                <w:sz w:val="18"/>
              </w:rPr>
              <w:t>1.032.881,03</w:t>
            </w:r>
          </w:p>
        </w:tc>
        <w:tc>
          <w:tcPr>
            <w:tcW w:w="700" w:type="dxa"/>
            <w:tcMar>
              <w:top w:w="0" w:type="dxa"/>
              <w:bottom w:w="0" w:type="dxa"/>
            </w:tcMar>
            <w:vAlign w:val="center"/>
          </w:tcPr>
          <w:p w14:paraId="47D6A5B8" w14:textId="77777777" w:rsidR="001B362E" w:rsidRDefault="001C1D7A">
            <w:pPr>
              <w:keepNext/>
              <w:keepLines/>
              <w:spacing w:after="0" w:line="240" w:lineRule="auto"/>
              <w:jc w:val="right"/>
            </w:pPr>
            <w:r>
              <w:rPr>
                <w:sz w:val="18"/>
              </w:rPr>
              <w:t>198,4</w:t>
            </w:r>
          </w:p>
        </w:tc>
      </w:tr>
    </w:tbl>
    <w:p w14:paraId="7392D01B" w14:textId="77777777" w:rsidR="001B362E" w:rsidRDefault="001B362E">
      <w:pPr>
        <w:spacing w:after="0"/>
      </w:pPr>
    </w:p>
    <w:p w14:paraId="62468AC7" w14:textId="77777777" w:rsidR="001B362E" w:rsidRDefault="001C1D7A">
      <w:r>
        <w:t>Rashodi na kontu 3234 rashodi za komunalne usluge povećani su za 98,4 % u odnosu na 2024. godinu, zbog realizacije projekta sadnje stabala na gradskim ulicama, povećanja rashoda za održavanje komunalne infrastrukture, te povećanje rashoda za sanaciju poljskih puteva. </w:t>
      </w:r>
    </w:p>
    <w:p w14:paraId="4746CE95" w14:textId="77777777" w:rsidR="001B362E" w:rsidRDefault="001B362E"/>
    <w:p w14:paraId="026FFF40" w14:textId="77777777" w:rsidR="001B362E" w:rsidRDefault="001C1D7A">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3AA72A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D9FFAEA"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69B37C"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1769AB"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3DCC37"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D046FF"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40AFDA" w14:textId="77777777" w:rsidR="001B362E" w:rsidRDefault="001C1D7A">
            <w:pPr>
              <w:keepNext/>
              <w:keepLines/>
              <w:spacing w:after="0" w:line="240" w:lineRule="auto"/>
              <w:jc w:val="center"/>
            </w:pPr>
            <w:r>
              <w:rPr>
                <w:b/>
                <w:sz w:val="18"/>
              </w:rPr>
              <w:t>Indeks (%)</w:t>
            </w:r>
          </w:p>
        </w:tc>
      </w:tr>
      <w:tr w:rsidR="001B362E" w14:paraId="14B761F4" w14:textId="77777777">
        <w:tblPrEx>
          <w:tblCellMar>
            <w:top w:w="0" w:type="dxa"/>
            <w:bottom w:w="0" w:type="dxa"/>
          </w:tblCellMar>
        </w:tblPrEx>
        <w:trPr>
          <w:cantSplit/>
          <w:trHeight w:val="560"/>
        </w:trPr>
        <w:tc>
          <w:tcPr>
            <w:tcW w:w="700" w:type="dxa"/>
            <w:tcMar>
              <w:top w:w="0" w:type="dxa"/>
              <w:bottom w:w="0" w:type="dxa"/>
            </w:tcMar>
            <w:vAlign w:val="center"/>
          </w:tcPr>
          <w:p w14:paraId="3A26425A" w14:textId="77777777" w:rsidR="001B362E" w:rsidRDefault="001C1D7A">
            <w:pPr>
              <w:keepNext/>
              <w:keepLines/>
              <w:spacing w:after="0" w:line="240" w:lineRule="auto"/>
            </w:pPr>
            <w:r>
              <w:rPr>
                <w:sz w:val="18"/>
              </w:rPr>
              <w:t>329</w:t>
            </w:r>
          </w:p>
        </w:tc>
        <w:tc>
          <w:tcPr>
            <w:tcW w:w="3180" w:type="dxa"/>
            <w:tcMar>
              <w:top w:w="0" w:type="dxa"/>
              <w:bottom w:w="0" w:type="dxa"/>
            </w:tcMar>
            <w:vAlign w:val="center"/>
          </w:tcPr>
          <w:p w14:paraId="68CC4D63" w14:textId="77777777" w:rsidR="001B362E" w:rsidRDefault="001C1D7A">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00C1AEE1" w14:textId="77777777" w:rsidR="001B362E" w:rsidRDefault="001C1D7A">
            <w:pPr>
              <w:keepNext/>
              <w:keepLines/>
              <w:spacing w:after="0" w:line="240" w:lineRule="auto"/>
            </w:pPr>
            <w:r>
              <w:rPr>
                <w:sz w:val="18"/>
              </w:rPr>
              <w:t>329</w:t>
            </w:r>
          </w:p>
        </w:tc>
        <w:tc>
          <w:tcPr>
            <w:tcW w:w="1860" w:type="dxa"/>
            <w:tcMar>
              <w:top w:w="0" w:type="dxa"/>
              <w:bottom w:w="0" w:type="dxa"/>
            </w:tcMar>
            <w:vAlign w:val="center"/>
          </w:tcPr>
          <w:p w14:paraId="215E8E09" w14:textId="77777777" w:rsidR="001B362E" w:rsidRDefault="001C1D7A">
            <w:pPr>
              <w:keepNext/>
              <w:keepLines/>
              <w:spacing w:after="0" w:line="240" w:lineRule="auto"/>
              <w:jc w:val="right"/>
            </w:pPr>
            <w:r>
              <w:rPr>
                <w:sz w:val="18"/>
              </w:rPr>
              <w:t>253.219,18</w:t>
            </w:r>
          </w:p>
        </w:tc>
        <w:tc>
          <w:tcPr>
            <w:tcW w:w="1860" w:type="dxa"/>
            <w:tcMar>
              <w:top w:w="0" w:type="dxa"/>
              <w:bottom w:w="0" w:type="dxa"/>
            </w:tcMar>
            <w:vAlign w:val="center"/>
          </w:tcPr>
          <w:p w14:paraId="437BADC3" w14:textId="77777777" w:rsidR="001B362E" w:rsidRDefault="001C1D7A">
            <w:pPr>
              <w:keepNext/>
              <w:keepLines/>
              <w:spacing w:after="0" w:line="240" w:lineRule="auto"/>
              <w:jc w:val="right"/>
            </w:pPr>
            <w:r>
              <w:rPr>
                <w:sz w:val="18"/>
              </w:rPr>
              <w:t>288.980,83</w:t>
            </w:r>
          </w:p>
        </w:tc>
        <w:tc>
          <w:tcPr>
            <w:tcW w:w="700" w:type="dxa"/>
            <w:tcMar>
              <w:top w:w="0" w:type="dxa"/>
              <w:bottom w:w="0" w:type="dxa"/>
            </w:tcMar>
            <w:vAlign w:val="center"/>
          </w:tcPr>
          <w:p w14:paraId="7AC5E38C" w14:textId="77777777" w:rsidR="001B362E" w:rsidRDefault="001C1D7A">
            <w:pPr>
              <w:keepNext/>
              <w:keepLines/>
              <w:spacing w:after="0" w:line="240" w:lineRule="auto"/>
              <w:jc w:val="right"/>
            </w:pPr>
            <w:r>
              <w:rPr>
                <w:sz w:val="18"/>
              </w:rPr>
              <w:t>114,1</w:t>
            </w:r>
          </w:p>
        </w:tc>
      </w:tr>
    </w:tbl>
    <w:p w14:paraId="5A359D4A" w14:textId="77777777" w:rsidR="001B362E" w:rsidRDefault="001B362E">
      <w:pPr>
        <w:spacing w:after="0"/>
      </w:pPr>
    </w:p>
    <w:p w14:paraId="55DFFCF1" w14:textId="77777777" w:rsidR="001B362E" w:rsidRDefault="001C1D7A">
      <w:r>
        <w:t>Prihodi na kontu 329 ostali nespomenuti rashodi poslovanja povećani su za 14,1 % u odnosu na 2024. godini, zbog povećanja rashoda za manifestacije, novčane naknada poslodavca zbog nezapošljavanja osoba s invaliditetom, te zbog održavanja lokalnih izbora u 2025. godini.</w:t>
      </w:r>
    </w:p>
    <w:p w14:paraId="0CF79A52" w14:textId="77777777" w:rsidR="001B362E" w:rsidRDefault="001B362E"/>
    <w:p w14:paraId="11E7FD6E" w14:textId="77777777" w:rsidR="001B362E" w:rsidRDefault="001C1D7A">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555F747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F21CF0"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24CCA99"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53E41"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3201F4"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C81CC47"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A868314" w14:textId="77777777" w:rsidR="001B362E" w:rsidRDefault="001C1D7A">
            <w:pPr>
              <w:keepNext/>
              <w:keepLines/>
              <w:spacing w:after="0" w:line="240" w:lineRule="auto"/>
              <w:jc w:val="center"/>
            </w:pPr>
            <w:r>
              <w:rPr>
                <w:b/>
                <w:sz w:val="18"/>
              </w:rPr>
              <w:t>Indeks (%)</w:t>
            </w:r>
          </w:p>
        </w:tc>
      </w:tr>
      <w:tr w:rsidR="001B362E" w14:paraId="2548EC9C" w14:textId="77777777">
        <w:tblPrEx>
          <w:tblCellMar>
            <w:top w:w="0" w:type="dxa"/>
            <w:bottom w:w="0" w:type="dxa"/>
          </w:tblCellMar>
        </w:tblPrEx>
        <w:trPr>
          <w:cantSplit/>
          <w:trHeight w:val="560"/>
        </w:trPr>
        <w:tc>
          <w:tcPr>
            <w:tcW w:w="700" w:type="dxa"/>
            <w:tcMar>
              <w:top w:w="0" w:type="dxa"/>
              <w:bottom w:w="0" w:type="dxa"/>
            </w:tcMar>
            <w:vAlign w:val="center"/>
          </w:tcPr>
          <w:p w14:paraId="4A0345FB" w14:textId="77777777" w:rsidR="001B362E" w:rsidRDefault="001C1D7A">
            <w:pPr>
              <w:keepNext/>
              <w:keepLines/>
              <w:spacing w:after="0" w:line="240" w:lineRule="auto"/>
            </w:pPr>
            <w:r>
              <w:rPr>
                <w:sz w:val="18"/>
              </w:rPr>
              <w:t>35</w:t>
            </w:r>
          </w:p>
        </w:tc>
        <w:tc>
          <w:tcPr>
            <w:tcW w:w="3180" w:type="dxa"/>
            <w:tcMar>
              <w:top w:w="0" w:type="dxa"/>
              <w:bottom w:w="0" w:type="dxa"/>
            </w:tcMar>
            <w:vAlign w:val="center"/>
          </w:tcPr>
          <w:p w14:paraId="7AA07EBA" w14:textId="77777777" w:rsidR="001B362E" w:rsidRDefault="001C1D7A">
            <w:pPr>
              <w:keepNext/>
              <w:keepLines/>
              <w:spacing w:after="0" w:line="240" w:lineRule="auto"/>
            </w:pPr>
            <w:r>
              <w:rPr>
                <w:sz w:val="18"/>
              </w:rPr>
              <w:t>Subvencije (šifre 351+352+353)</w:t>
            </w:r>
          </w:p>
        </w:tc>
        <w:tc>
          <w:tcPr>
            <w:tcW w:w="700" w:type="dxa"/>
            <w:tcMar>
              <w:top w:w="0" w:type="dxa"/>
              <w:bottom w:w="0" w:type="dxa"/>
            </w:tcMar>
            <w:vAlign w:val="center"/>
          </w:tcPr>
          <w:p w14:paraId="7A2AAFE2" w14:textId="77777777" w:rsidR="001B362E" w:rsidRDefault="001C1D7A">
            <w:pPr>
              <w:keepNext/>
              <w:keepLines/>
              <w:spacing w:after="0" w:line="240" w:lineRule="auto"/>
            </w:pPr>
            <w:r>
              <w:rPr>
                <w:sz w:val="18"/>
              </w:rPr>
              <w:t>35</w:t>
            </w:r>
          </w:p>
        </w:tc>
        <w:tc>
          <w:tcPr>
            <w:tcW w:w="1860" w:type="dxa"/>
            <w:tcMar>
              <w:top w:w="0" w:type="dxa"/>
              <w:bottom w:w="0" w:type="dxa"/>
            </w:tcMar>
            <w:vAlign w:val="center"/>
          </w:tcPr>
          <w:p w14:paraId="52AA7D4B" w14:textId="77777777" w:rsidR="001B362E" w:rsidRDefault="001C1D7A">
            <w:pPr>
              <w:keepNext/>
              <w:keepLines/>
              <w:spacing w:after="0" w:line="240" w:lineRule="auto"/>
              <w:jc w:val="right"/>
            </w:pPr>
            <w:r>
              <w:rPr>
                <w:sz w:val="18"/>
              </w:rPr>
              <w:t>2.355,78</w:t>
            </w:r>
          </w:p>
        </w:tc>
        <w:tc>
          <w:tcPr>
            <w:tcW w:w="1860" w:type="dxa"/>
            <w:tcMar>
              <w:top w:w="0" w:type="dxa"/>
              <w:bottom w:w="0" w:type="dxa"/>
            </w:tcMar>
            <w:vAlign w:val="center"/>
          </w:tcPr>
          <w:p w14:paraId="71957A63" w14:textId="77777777" w:rsidR="001B362E" w:rsidRDefault="001C1D7A">
            <w:pPr>
              <w:keepNext/>
              <w:keepLines/>
              <w:spacing w:after="0" w:line="240" w:lineRule="auto"/>
              <w:jc w:val="right"/>
            </w:pPr>
            <w:r>
              <w:rPr>
                <w:sz w:val="18"/>
              </w:rPr>
              <w:t>28.450,02</w:t>
            </w:r>
          </w:p>
        </w:tc>
        <w:tc>
          <w:tcPr>
            <w:tcW w:w="700" w:type="dxa"/>
            <w:tcMar>
              <w:top w:w="0" w:type="dxa"/>
              <w:bottom w:w="0" w:type="dxa"/>
            </w:tcMar>
            <w:vAlign w:val="center"/>
          </w:tcPr>
          <w:p w14:paraId="0E85277F" w14:textId="77777777" w:rsidR="001B362E" w:rsidRDefault="001C1D7A">
            <w:pPr>
              <w:keepNext/>
              <w:keepLines/>
              <w:spacing w:after="0" w:line="240" w:lineRule="auto"/>
              <w:jc w:val="right"/>
            </w:pPr>
            <w:r>
              <w:rPr>
                <w:sz w:val="18"/>
              </w:rPr>
              <w:t>1207,7</w:t>
            </w:r>
          </w:p>
        </w:tc>
      </w:tr>
    </w:tbl>
    <w:p w14:paraId="79A9DC5C" w14:textId="77777777" w:rsidR="001B362E" w:rsidRDefault="001B362E">
      <w:pPr>
        <w:spacing w:after="0"/>
      </w:pPr>
    </w:p>
    <w:p w14:paraId="04779E66" w14:textId="77777777" w:rsidR="001B362E" w:rsidRDefault="001C1D7A">
      <w:r>
        <w:t>Rashodi na kontu 35 subvencije povećani su za 1107,7 % u odnosu na 2024. godinu, zbog donošenja programa potpore poljoprivrednicima, poduzetnicima i obrtnicima na području Grada Otoka. Povećanje rashoda odnosi se na nadležni proračun.</w:t>
      </w:r>
    </w:p>
    <w:p w14:paraId="7C0474F6" w14:textId="77777777" w:rsidR="001B362E" w:rsidRDefault="001B362E"/>
    <w:p w14:paraId="5207ED43" w14:textId="77777777" w:rsidR="001B362E" w:rsidRDefault="001C1D7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45C89E6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2612C3"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0AA7A22"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1C6C80"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87B57F8"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EAAD65"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0ACF88" w14:textId="77777777" w:rsidR="001B362E" w:rsidRDefault="001C1D7A">
            <w:pPr>
              <w:keepNext/>
              <w:keepLines/>
              <w:spacing w:after="0" w:line="240" w:lineRule="auto"/>
              <w:jc w:val="center"/>
            </w:pPr>
            <w:r>
              <w:rPr>
                <w:b/>
                <w:sz w:val="18"/>
              </w:rPr>
              <w:t>Indeks (%)</w:t>
            </w:r>
          </w:p>
        </w:tc>
      </w:tr>
      <w:tr w:rsidR="001B362E" w14:paraId="226F7F97" w14:textId="77777777">
        <w:tblPrEx>
          <w:tblCellMar>
            <w:top w:w="0" w:type="dxa"/>
            <w:bottom w:w="0" w:type="dxa"/>
          </w:tblCellMar>
        </w:tblPrEx>
        <w:trPr>
          <w:cantSplit/>
          <w:trHeight w:val="560"/>
        </w:trPr>
        <w:tc>
          <w:tcPr>
            <w:tcW w:w="700" w:type="dxa"/>
            <w:tcMar>
              <w:top w:w="0" w:type="dxa"/>
              <w:bottom w:w="0" w:type="dxa"/>
            </w:tcMar>
            <w:vAlign w:val="center"/>
          </w:tcPr>
          <w:p w14:paraId="3C72858D" w14:textId="77777777" w:rsidR="001B362E" w:rsidRDefault="001C1D7A">
            <w:pPr>
              <w:keepNext/>
              <w:keepLines/>
              <w:spacing w:after="0" w:line="240" w:lineRule="auto"/>
            </w:pPr>
            <w:r>
              <w:rPr>
                <w:sz w:val="18"/>
              </w:rPr>
              <w:t>7</w:t>
            </w:r>
          </w:p>
        </w:tc>
        <w:tc>
          <w:tcPr>
            <w:tcW w:w="3180" w:type="dxa"/>
            <w:tcMar>
              <w:top w:w="0" w:type="dxa"/>
              <w:bottom w:w="0" w:type="dxa"/>
            </w:tcMar>
            <w:vAlign w:val="center"/>
          </w:tcPr>
          <w:p w14:paraId="107A56C8" w14:textId="77777777" w:rsidR="001B362E" w:rsidRDefault="001C1D7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05FE0FE" w14:textId="77777777" w:rsidR="001B362E" w:rsidRDefault="001C1D7A">
            <w:pPr>
              <w:keepNext/>
              <w:keepLines/>
              <w:spacing w:after="0" w:line="240" w:lineRule="auto"/>
            </w:pPr>
            <w:r>
              <w:rPr>
                <w:sz w:val="18"/>
              </w:rPr>
              <w:t>7</w:t>
            </w:r>
          </w:p>
        </w:tc>
        <w:tc>
          <w:tcPr>
            <w:tcW w:w="1860" w:type="dxa"/>
            <w:tcMar>
              <w:top w:w="0" w:type="dxa"/>
              <w:bottom w:w="0" w:type="dxa"/>
            </w:tcMar>
            <w:vAlign w:val="center"/>
          </w:tcPr>
          <w:p w14:paraId="39473BCD" w14:textId="77777777" w:rsidR="001B362E" w:rsidRDefault="001C1D7A">
            <w:pPr>
              <w:keepNext/>
              <w:keepLines/>
              <w:spacing w:after="0" w:line="240" w:lineRule="auto"/>
              <w:jc w:val="right"/>
            </w:pPr>
            <w:r>
              <w:rPr>
                <w:sz w:val="18"/>
              </w:rPr>
              <w:t>66.014,81</w:t>
            </w:r>
          </w:p>
        </w:tc>
        <w:tc>
          <w:tcPr>
            <w:tcW w:w="1860" w:type="dxa"/>
            <w:tcMar>
              <w:top w:w="0" w:type="dxa"/>
              <w:bottom w:w="0" w:type="dxa"/>
            </w:tcMar>
            <w:vAlign w:val="center"/>
          </w:tcPr>
          <w:p w14:paraId="7CCE04E8" w14:textId="77777777" w:rsidR="001B362E" w:rsidRDefault="001C1D7A">
            <w:pPr>
              <w:keepNext/>
              <w:keepLines/>
              <w:spacing w:after="0" w:line="240" w:lineRule="auto"/>
              <w:jc w:val="right"/>
            </w:pPr>
            <w:r>
              <w:rPr>
                <w:sz w:val="18"/>
              </w:rPr>
              <w:t>68.090,22</w:t>
            </w:r>
          </w:p>
        </w:tc>
        <w:tc>
          <w:tcPr>
            <w:tcW w:w="700" w:type="dxa"/>
            <w:tcMar>
              <w:top w:w="0" w:type="dxa"/>
              <w:bottom w:w="0" w:type="dxa"/>
            </w:tcMar>
            <w:vAlign w:val="center"/>
          </w:tcPr>
          <w:p w14:paraId="069F2588" w14:textId="77777777" w:rsidR="001B362E" w:rsidRDefault="001C1D7A">
            <w:pPr>
              <w:keepNext/>
              <w:keepLines/>
              <w:spacing w:after="0" w:line="240" w:lineRule="auto"/>
              <w:jc w:val="right"/>
            </w:pPr>
            <w:r>
              <w:rPr>
                <w:sz w:val="18"/>
              </w:rPr>
              <w:t>103,1</w:t>
            </w:r>
          </w:p>
        </w:tc>
      </w:tr>
    </w:tbl>
    <w:p w14:paraId="2A7E8BA3" w14:textId="77777777" w:rsidR="001B362E" w:rsidRDefault="001B362E">
      <w:pPr>
        <w:spacing w:after="0"/>
      </w:pPr>
    </w:p>
    <w:p w14:paraId="53BFC681" w14:textId="77777777" w:rsidR="001B362E" w:rsidRDefault="001C1D7A">
      <w:r>
        <w:t>Prihodi na kontu 7 prihodi od prodaje nefinancijske imovine veću su za 3,1 % u odnosu na 2024. godinu, zbog naplate kamata za dospjela potraživanja za prodaju poljoprivrednog zemljišta u vlasništvu RH.  Povećanje prihoda se odnosi na nadležni proračun.</w:t>
      </w:r>
    </w:p>
    <w:p w14:paraId="7F2F17FA" w14:textId="77777777" w:rsidR="001B362E" w:rsidRDefault="001B362E"/>
    <w:p w14:paraId="4CB7DF36" w14:textId="77777777" w:rsidR="001B362E" w:rsidRDefault="001C1D7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6DAFE4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FAEB2A"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1C8E36"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88934C"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8790BF"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C8A376"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33C8EC" w14:textId="77777777" w:rsidR="001B362E" w:rsidRDefault="001C1D7A">
            <w:pPr>
              <w:keepNext/>
              <w:keepLines/>
              <w:spacing w:after="0" w:line="240" w:lineRule="auto"/>
              <w:jc w:val="center"/>
            </w:pPr>
            <w:r>
              <w:rPr>
                <w:b/>
                <w:sz w:val="18"/>
              </w:rPr>
              <w:t>Indeks (%)</w:t>
            </w:r>
          </w:p>
        </w:tc>
      </w:tr>
      <w:tr w:rsidR="001B362E" w14:paraId="6318BFF0" w14:textId="77777777">
        <w:tblPrEx>
          <w:tblCellMar>
            <w:top w:w="0" w:type="dxa"/>
            <w:bottom w:w="0" w:type="dxa"/>
          </w:tblCellMar>
        </w:tblPrEx>
        <w:trPr>
          <w:cantSplit/>
          <w:trHeight w:val="560"/>
        </w:trPr>
        <w:tc>
          <w:tcPr>
            <w:tcW w:w="700" w:type="dxa"/>
            <w:tcMar>
              <w:top w:w="0" w:type="dxa"/>
              <w:bottom w:w="0" w:type="dxa"/>
            </w:tcMar>
            <w:vAlign w:val="center"/>
          </w:tcPr>
          <w:p w14:paraId="0FE45349" w14:textId="77777777" w:rsidR="001B362E" w:rsidRDefault="001C1D7A">
            <w:pPr>
              <w:keepNext/>
              <w:keepLines/>
              <w:spacing w:after="0" w:line="240" w:lineRule="auto"/>
            </w:pPr>
            <w:r>
              <w:rPr>
                <w:sz w:val="18"/>
              </w:rPr>
              <w:t>4213</w:t>
            </w:r>
          </w:p>
        </w:tc>
        <w:tc>
          <w:tcPr>
            <w:tcW w:w="3180" w:type="dxa"/>
            <w:tcMar>
              <w:top w:w="0" w:type="dxa"/>
              <w:bottom w:w="0" w:type="dxa"/>
            </w:tcMar>
            <w:vAlign w:val="center"/>
          </w:tcPr>
          <w:p w14:paraId="455BBF02" w14:textId="77777777" w:rsidR="001B362E" w:rsidRDefault="001C1D7A">
            <w:pPr>
              <w:keepNext/>
              <w:keepLines/>
              <w:spacing w:after="0" w:line="240" w:lineRule="auto"/>
            </w:pPr>
            <w:r>
              <w:rPr>
                <w:sz w:val="18"/>
              </w:rPr>
              <w:t>Ceste, željeznice i ostali prometni objekti</w:t>
            </w:r>
          </w:p>
        </w:tc>
        <w:tc>
          <w:tcPr>
            <w:tcW w:w="700" w:type="dxa"/>
            <w:tcMar>
              <w:top w:w="0" w:type="dxa"/>
              <w:bottom w:w="0" w:type="dxa"/>
            </w:tcMar>
            <w:vAlign w:val="center"/>
          </w:tcPr>
          <w:p w14:paraId="6BBB7F00" w14:textId="77777777" w:rsidR="001B362E" w:rsidRDefault="001C1D7A">
            <w:pPr>
              <w:keepNext/>
              <w:keepLines/>
              <w:spacing w:after="0" w:line="240" w:lineRule="auto"/>
            </w:pPr>
            <w:r>
              <w:rPr>
                <w:sz w:val="18"/>
              </w:rPr>
              <w:t>4213</w:t>
            </w:r>
          </w:p>
        </w:tc>
        <w:tc>
          <w:tcPr>
            <w:tcW w:w="1860" w:type="dxa"/>
            <w:tcMar>
              <w:top w:w="0" w:type="dxa"/>
              <w:bottom w:w="0" w:type="dxa"/>
            </w:tcMar>
            <w:vAlign w:val="center"/>
          </w:tcPr>
          <w:p w14:paraId="13040396" w14:textId="77777777" w:rsidR="001B362E" w:rsidRDefault="001C1D7A">
            <w:pPr>
              <w:keepNext/>
              <w:keepLines/>
              <w:spacing w:after="0" w:line="240" w:lineRule="auto"/>
              <w:jc w:val="right"/>
            </w:pPr>
            <w:r>
              <w:rPr>
                <w:sz w:val="18"/>
              </w:rPr>
              <w:t>534.576,47</w:t>
            </w:r>
          </w:p>
        </w:tc>
        <w:tc>
          <w:tcPr>
            <w:tcW w:w="1860" w:type="dxa"/>
            <w:tcMar>
              <w:top w:w="0" w:type="dxa"/>
              <w:bottom w:w="0" w:type="dxa"/>
            </w:tcMar>
            <w:vAlign w:val="center"/>
          </w:tcPr>
          <w:p w14:paraId="1C0A4A37" w14:textId="77777777" w:rsidR="001B362E" w:rsidRDefault="001C1D7A">
            <w:pPr>
              <w:keepNext/>
              <w:keepLines/>
              <w:spacing w:after="0" w:line="240" w:lineRule="auto"/>
              <w:jc w:val="right"/>
            </w:pPr>
            <w:r>
              <w:rPr>
                <w:sz w:val="18"/>
              </w:rPr>
              <w:t>750.823,54</w:t>
            </w:r>
          </w:p>
        </w:tc>
        <w:tc>
          <w:tcPr>
            <w:tcW w:w="700" w:type="dxa"/>
            <w:tcMar>
              <w:top w:w="0" w:type="dxa"/>
              <w:bottom w:w="0" w:type="dxa"/>
            </w:tcMar>
            <w:vAlign w:val="center"/>
          </w:tcPr>
          <w:p w14:paraId="51CDE6B6" w14:textId="77777777" w:rsidR="001B362E" w:rsidRDefault="001C1D7A">
            <w:pPr>
              <w:keepNext/>
              <w:keepLines/>
              <w:spacing w:after="0" w:line="240" w:lineRule="auto"/>
              <w:jc w:val="right"/>
            </w:pPr>
            <w:r>
              <w:rPr>
                <w:sz w:val="18"/>
              </w:rPr>
              <w:t>140,5</w:t>
            </w:r>
          </w:p>
        </w:tc>
      </w:tr>
    </w:tbl>
    <w:p w14:paraId="478842A3" w14:textId="77777777" w:rsidR="001B362E" w:rsidRDefault="001B362E">
      <w:pPr>
        <w:spacing w:after="0"/>
      </w:pPr>
    </w:p>
    <w:p w14:paraId="517148FF" w14:textId="77777777" w:rsidR="001B362E" w:rsidRDefault="001C1D7A">
      <w:r>
        <w:t>Rashodi na kontu 4213 ceste, željeznice i ostali prometni objekti povećani su za 40,5 % u odnosu na 2024. godinu, zbog sanacije Hebrangove ulice, ulice Bana Jelačića te Dalmatinske ulice u Otoku. Povećanje se odnosi na nadležni proračun.</w:t>
      </w:r>
    </w:p>
    <w:p w14:paraId="020A3A0E" w14:textId="77777777" w:rsidR="001B362E" w:rsidRDefault="001B362E"/>
    <w:p w14:paraId="5D61CF46" w14:textId="77777777" w:rsidR="001B362E" w:rsidRDefault="001C1D7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10CA4F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59A65F"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50513E"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49A359"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0C4F6B"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4F9DA7"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FEB15" w14:textId="77777777" w:rsidR="001B362E" w:rsidRDefault="001C1D7A">
            <w:pPr>
              <w:keepNext/>
              <w:keepLines/>
              <w:spacing w:after="0" w:line="240" w:lineRule="auto"/>
              <w:jc w:val="center"/>
            </w:pPr>
            <w:r>
              <w:rPr>
                <w:b/>
                <w:sz w:val="18"/>
              </w:rPr>
              <w:t>Indeks (%)</w:t>
            </w:r>
          </w:p>
        </w:tc>
      </w:tr>
      <w:tr w:rsidR="001B362E" w14:paraId="513328F0" w14:textId="77777777">
        <w:tblPrEx>
          <w:tblCellMar>
            <w:top w:w="0" w:type="dxa"/>
            <w:bottom w:w="0" w:type="dxa"/>
          </w:tblCellMar>
        </w:tblPrEx>
        <w:trPr>
          <w:cantSplit/>
          <w:trHeight w:val="560"/>
        </w:trPr>
        <w:tc>
          <w:tcPr>
            <w:tcW w:w="700" w:type="dxa"/>
            <w:tcMar>
              <w:top w:w="0" w:type="dxa"/>
              <w:bottom w:w="0" w:type="dxa"/>
            </w:tcMar>
            <w:vAlign w:val="center"/>
          </w:tcPr>
          <w:p w14:paraId="3C4C8DA6" w14:textId="77777777" w:rsidR="001B362E" w:rsidRDefault="001C1D7A">
            <w:pPr>
              <w:keepNext/>
              <w:keepLines/>
              <w:spacing w:after="0" w:line="240" w:lineRule="auto"/>
            </w:pPr>
            <w:r>
              <w:rPr>
                <w:sz w:val="18"/>
              </w:rPr>
              <w:t>422</w:t>
            </w:r>
          </w:p>
        </w:tc>
        <w:tc>
          <w:tcPr>
            <w:tcW w:w="3180" w:type="dxa"/>
            <w:tcMar>
              <w:top w:w="0" w:type="dxa"/>
              <w:bottom w:w="0" w:type="dxa"/>
            </w:tcMar>
            <w:vAlign w:val="center"/>
          </w:tcPr>
          <w:p w14:paraId="5FE2EF65" w14:textId="77777777" w:rsidR="001B362E" w:rsidRDefault="001C1D7A">
            <w:pPr>
              <w:keepNext/>
              <w:keepLines/>
              <w:spacing w:after="0" w:line="240" w:lineRule="auto"/>
            </w:pPr>
            <w:r>
              <w:rPr>
                <w:sz w:val="18"/>
              </w:rPr>
              <w:t>Postrojenja i oprema (šifre 4221 do 4228)</w:t>
            </w:r>
          </w:p>
        </w:tc>
        <w:tc>
          <w:tcPr>
            <w:tcW w:w="700" w:type="dxa"/>
            <w:tcMar>
              <w:top w:w="0" w:type="dxa"/>
              <w:bottom w:w="0" w:type="dxa"/>
            </w:tcMar>
            <w:vAlign w:val="center"/>
          </w:tcPr>
          <w:p w14:paraId="2006EA95" w14:textId="77777777" w:rsidR="001B362E" w:rsidRDefault="001C1D7A">
            <w:pPr>
              <w:keepNext/>
              <w:keepLines/>
              <w:spacing w:after="0" w:line="240" w:lineRule="auto"/>
            </w:pPr>
            <w:r>
              <w:rPr>
                <w:sz w:val="18"/>
              </w:rPr>
              <w:t>422</w:t>
            </w:r>
          </w:p>
        </w:tc>
        <w:tc>
          <w:tcPr>
            <w:tcW w:w="1860" w:type="dxa"/>
            <w:tcMar>
              <w:top w:w="0" w:type="dxa"/>
              <w:bottom w:w="0" w:type="dxa"/>
            </w:tcMar>
            <w:vAlign w:val="center"/>
          </w:tcPr>
          <w:p w14:paraId="44621764" w14:textId="77777777" w:rsidR="001B362E" w:rsidRDefault="001C1D7A">
            <w:pPr>
              <w:keepNext/>
              <w:keepLines/>
              <w:spacing w:after="0" w:line="240" w:lineRule="auto"/>
              <w:jc w:val="right"/>
            </w:pPr>
            <w:r>
              <w:rPr>
                <w:sz w:val="18"/>
              </w:rPr>
              <w:t>128.604,13</w:t>
            </w:r>
          </w:p>
        </w:tc>
        <w:tc>
          <w:tcPr>
            <w:tcW w:w="1860" w:type="dxa"/>
            <w:tcMar>
              <w:top w:w="0" w:type="dxa"/>
              <w:bottom w:w="0" w:type="dxa"/>
            </w:tcMar>
            <w:vAlign w:val="center"/>
          </w:tcPr>
          <w:p w14:paraId="02283930" w14:textId="77777777" w:rsidR="001B362E" w:rsidRDefault="001C1D7A">
            <w:pPr>
              <w:keepNext/>
              <w:keepLines/>
              <w:spacing w:after="0" w:line="240" w:lineRule="auto"/>
              <w:jc w:val="right"/>
            </w:pPr>
            <w:r>
              <w:rPr>
                <w:sz w:val="18"/>
              </w:rPr>
              <w:t>182.282,58</w:t>
            </w:r>
          </w:p>
        </w:tc>
        <w:tc>
          <w:tcPr>
            <w:tcW w:w="700" w:type="dxa"/>
            <w:tcMar>
              <w:top w:w="0" w:type="dxa"/>
              <w:bottom w:w="0" w:type="dxa"/>
            </w:tcMar>
            <w:vAlign w:val="center"/>
          </w:tcPr>
          <w:p w14:paraId="5C26A274" w14:textId="77777777" w:rsidR="001B362E" w:rsidRDefault="001C1D7A">
            <w:pPr>
              <w:keepNext/>
              <w:keepLines/>
              <w:spacing w:after="0" w:line="240" w:lineRule="auto"/>
              <w:jc w:val="right"/>
            </w:pPr>
            <w:r>
              <w:rPr>
                <w:sz w:val="18"/>
              </w:rPr>
              <w:t>141,7</w:t>
            </w:r>
          </w:p>
        </w:tc>
      </w:tr>
    </w:tbl>
    <w:p w14:paraId="32B66624" w14:textId="77777777" w:rsidR="001B362E" w:rsidRDefault="001B362E">
      <w:pPr>
        <w:spacing w:after="0"/>
      </w:pPr>
    </w:p>
    <w:p w14:paraId="1A793C96" w14:textId="77777777" w:rsidR="001B362E" w:rsidRDefault="001C1D7A">
      <w:r>
        <w:t xml:space="preserve">Rashodi na kontu 422 postrojenja i oprema povećani su za 41,7 % u odnosu na 2024. godinu, zbog rashoda za sportsku opremu, opremu za videonadzor te opremanje dječjeg vrtića </w:t>
      </w:r>
      <w:r>
        <w:lastRenderedPageBreak/>
        <w:t>Pupoljak. Povećanje se odnosi na nadležni proračun, na Dječji vrtić Pupoljak te Otočku razvojnu agenciju.</w:t>
      </w:r>
    </w:p>
    <w:p w14:paraId="3816013D" w14:textId="77777777" w:rsidR="001B362E" w:rsidRDefault="001B362E"/>
    <w:p w14:paraId="3F3A4439" w14:textId="77777777" w:rsidR="001B362E" w:rsidRDefault="001C1D7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514695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95807FD"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137411E"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C9C4F6"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95D986"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C6CBEA"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2898881" w14:textId="77777777" w:rsidR="001B362E" w:rsidRDefault="001C1D7A">
            <w:pPr>
              <w:keepNext/>
              <w:keepLines/>
              <w:spacing w:after="0" w:line="240" w:lineRule="auto"/>
              <w:jc w:val="center"/>
            </w:pPr>
            <w:r>
              <w:rPr>
                <w:b/>
                <w:sz w:val="18"/>
              </w:rPr>
              <w:t>Indeks (%)</w:t>
            </w:r>
          </w:p>
        </w:tc>
      </w:tr>
      <w:tr w:rsidR="001B362E" w14:paraId="7629A3C0" w14:textId="77777777">
        <w:tblPrEx>
          <w:tblCellMar>
            <w:top w:w="0" w:type="dxa"/>
            <w:bottom w:w="0" w:type="dxa"/>
          </w:tblCellMar>
        </w:tblPrEx>
        <w:trPr>
          <w:cantSplit/>
          <w:trHeight w:val="560"/>
        </w:trPr>
        <w:tc>
          <w:tcPr>
            <w:tcW w:w="700" w:type="dxa"/>
            <w:tcMar>
              <w:top w:w="0" w:type="dxa"/>
              <w:bottom w:w="0" w:type="dxa"/>
            </w:tcMar>
            <w:vAlign w:val="center"/>
          </w:tcPr>
          <w:p w14:paraId="1BD10BE9" w14:textId="77777777" w:rsidR="001B362E" w:rsidRDefault="001C1D7A">
            <w:pPr>
              <w:keepNext/>
              <w:keepLines/>
              <w:spacing w:after="0" w:line="240" w:lineRule="auto"/>
            </w:pPr>
            <w:r>
              <w:rPr>
                <w:sz w:val="18"/>
              </w:rPr>
              <w:t>4226</w:t>
            </w:r>
          </w:p>
        </w:tc>
        <w:tc>
          <w:tcPr>
            <w:tcW w:w="3180" w:type="dxa"/>
            <w:tcMar>
              <w:top w:w="0" w:type="dxa"/>
              <w:bottom w:w="0" w:type="dxa"/>
            </w:tcMar>
            <w:vAlign w:val="center"/>
          </w:tcPr>
          <w:p w14:paraId="3DC2AA9C" w14:textId="77777777" w:rsidR="001B362E" w:rsidRDefault="001C1D7A">
            <w:pPr>
              <w:keepNext/>
              <w:keepLines/>
              <w:spacing w:after="0" w:line="240" w:lineRule="auto"/>
            </w:pPr>
            <w:r>
              <w:rPr>
                <w:sz w:val="18"/>
              </w:rPr>
              <w:t>Sportska i glazbena oprema</w:t>
            </w:r>
          </w:p>
        </w:tc>
        <w:tc>
          <w:tcPr>
            <w:tcW w:w="700" w:type="dxa"/>
            <w:tcMar>
              <w:top w:w="0" w:type="dxa"/>
              <w:bottom w:w="0" w:type="dxa"/>
            </w:tcMar>
            <w:vAlign w:val="center"/>
          </w:tcPr>
          <w:p w14:paraId="7017E8A7" w14:textId="77777777" w:rsidR="001B362E" w:rsidRDefault="001C1D7A">
            <w:pPr>
              <w:keepNext/>
              <w:keepLines/>
              <w:spacing w:after="0" w:line="240" w:lineRule="auto"/>
            </w:pPr>
            <w:r>
              <w:rPr>
                <w:sz w:val="18"/>
              </w:rPr>
              <w:t>4226</w:t>
            </w:r>
          </w:p>
        </w:tc>
        <w:tc>
          <w:tcPr>
            <w:tcW w:w="1860" w:type="dxa"/>
            <w:tcMar>
              <w:top w:w="0" w:type="dxa"/>
              <w:bottom w:w="0" w:type="dxa"/>
            </w:tcMar>
            <w:vAlign w:val="center"/>
          </w:tcPr>
          <w:p w14:paraId="60454188" w14:textId="77777777" w:rsidR="001B362E" w:rsidRDefault="001C1D7A">
            <w:pPr>
              <w:keepNext/>
              <w:keepLines/>
              <w:spacing w:after="0" w:line="240" w:lineRule="auto"/>
              <w:jc w:val="right"/>
            </w:pPr>
            <w:r>
              <w:rPr>
                <w:sz w:val="18"/>
              </w:rPr>
              <w:t>37.130,00</w:t>
            </w:r>
          </w:p>
        </w:tc>
        <w:tc>
          <w:tcPr>
            <w:tcW w:w="1860" w:type="dxa"/>
            <w:tcMar>
              <w:top w:w="0" w:type="dxa"/>
              <w:bottom w:w="0" w:type="dxa"/>
            </w:tcMar>
            <w:vAlign w:val="center"/>
          </w:tcPr>
          <w:p w14:paraId="5BEFE9C7" w14:textId="77777777" w:rsidR="001B362E" w:rsidRDefault="001C1D7A">
            <w:pPr>
              <w:keepNext/>
              <w:keepLines/>
              <w:spacing w:after="0" w:line="240" w:lineRule="auto"/>
              <w:jc w:val="right"/>
            </w:pPr>
            <w:r>
              <w:rPr>
                <w:sz w:val="18"/>
              </w:rPr>
              <w:t>92.304,01</w:t>
            </w:r>
          </w:p>
        </w:tc>
        <w:tc>
          <w:tcPr>
            <w:tcW w:w="700" w:type="dxa"/>
            <w:tcMar>
              <w:top w:w="0" w:type="dxa"/>
              <w:bottom w:w="0" w:type="dxa"/>
            </w:tcMar>
            <w:vAlign w:val="center"/>
          </w:tcPr>
          <w:p w14:paraId="1DE85C4C" w14:textId="77777777" w:rsidR="001B362E" w:rsidRDefault="001C1D7A">
            <w:pPr>
              <w:keepNext/>
              <w:keepLines/>
              <w:spacing w:after="0" w:line="240" w:lineRule="auto"/>
              <w:jc w:val="right"/>
            </w:pPr>
            <w:r>
              <w:rPr>
                <w:sz w:val="18"/>
              </w:rPr>
              <w:t>248,6</w:t>
            </w:r>
          </w:p>
        </w:tc>
      </w:tr>
    </w:tbl>
    <w:p w14:paraId="367BFC47" w14:textId="77777777" w:rsidR="001B362E" w:rsidRDefault="001B362E">
      <w:pPr>
        <w:spacing w:after="0"/>
      </w:pPr>
    </w:p>
    <w:p w14:paraId="4D8A0FA0" w14:textId="77777777" w:rsidR="001B362E" w:rsidRDefault="001C1D7A">
      <w:r>
        <w:t>Rashodi na kontu 4226 sportska i glazbena oprema povećani su za 148,6 % u odnosu na 2024. godinu, zbog postavljanja semafora na sportskom igralištu NK Otok. Rashodi se odnose na nadležni proračun.</w:t>
      </w:r>
    </w:p>
    <w:p w14:paraId="4486532D" w14:textId="77777777" w:rsidR="001B362E" w:rsidRDefault="001B362E"/>
    <w:p w14:paraId="7031CE52" w14:textId="77777777" w:rsidR="001B362E" w:rsidRDefault="001C1D7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6A631E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1C50BFC"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69A77A"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4AC07F"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C7A56B"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721FF8C"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555322" w14:textId="77777777" w:rsidR="001B362E" w:rsidRDefault="001C1D7A">
            <w:pPr>
              <w:keepNext/>
              <w:keepLines/>
              <w:spacing w:after="0" w:line="240" w:lineRule="auto"/>
              <w:jc w:val="center"/>
            </w:pPr>
            <w:r>
              <w:rPr>
                <w:b/>
                <w:sz w:val="18"/>
              </w:rPr>
              <w:t>Indeks (%)</w:t>
            </w:r>
          </w:p>
        </w:tc>
      </w:tr>
      <w:tr w:rsidR="001B362E" w14:paraId="17EF06A9" w14:textId="77777777">
        <w:tblPrEx>
          <w:tblCellMar>
            <w:top w:w="0" w:type="dxa"/>
            <w:bottom w:w="0" w:type="dxa"/>
          </w:tblCellMar>
        </w:tblPrEx>
        <w:trPr>
          <w:cantSplit/>
          <w:trHeight w:val="560"/>
        </w:trPr>
        <w:tc>
          <w:tcPr>
            <w:tcW w:w="700" w:type="dxa"/>
            <w:tcMar>
              <w:top w:w="0" w:type="dxa"/>
              <w:bottom w:w="0" w:type="dxa"/>
            </w:tcMar>
            <w:vAlign w:val="center"/>
          </w:tcPr>
          <w:p w14:paraId="77A1D4C5" w14:textId="77777777" w:rsidR="001B362E" w:rsidRDefault="001C1D7A">
            <w:pPr>
              <w:keepNext/>
              <w:keepLines/>
              <w:spacing w:after="0" w:line="240" w:lineRule="auto"/>
            </w:pPr>
            <w:r>
              <w:rPr>
                <w:sz w:val="18"/>
              </w:rPr>
              <w:t>4227</w:t>
            </w:r>
          </w:p>
        </w:tc>
        <w:tc>
          <w:tcPr>
            <w:tcW w:w="3180" w:type="dxa"/>
            <w:tcMar>
              <w:top w:w="0" w:type="dxa"/>
              <w:bottom w:w="0" w:type="dxa"/>
            </w:tcMar>
            <w:vAlign w:val="center"/>
          </w:tcPr>
          <w:p w14:paraId="166C8726" w14:textId="77777777" w:rsidR="001B362E" w:rsidRDefault="001C1D7A">
            <w:pPr>
              <w:keepNext/>
              <w:keepLines/>
              <w:spacing w:after="0" w:line="240" w:lineRule="auto"/>
            </w:pPr>
            <w:r>
              <w:rPr>
                <w:sz w:val="18"/>
              </w:rPr>
              <w:t>Uređaji, strojevi i oprema za ostale namjene</w:t>
            </w:r>
          </w:p>
        </w:tc>
        <w:tc>
          <w:tcPr>
            <w:tcW w:w="700" w:type="dxa"/>
            <w:tcMar>
              <w:top w:w="0" w:type="dxa"/>
              <w:bottom w:w="0" w:type="dxa"/>
            </w:tcMar>
            <w:vAlign w:val="center"/>
          </w:tcPr>
          <w:p w14:paraId="5C8980C3" w14:textId="77777777" w:rsidR="001B362E" w:rsidRDefault="001C1D7A">
            <w:pPr>
              <w:keepNext/>
              <w:keepLines/>
              <w:spacing w:after="0" w:line="240" w:lineRule="auto"/>
            </w:pPr>
            <w:r>
              <w:rPr>
                <w:sz w:val="18"/>
              </w:rPr>
              <w:t>4227</w:t>
            </w:r>
          </w:p>
        </w:tc>
        <w:tc>
          <w:tcPr>
            <w:tcW w:w="1860" w:type="dxa"/>
            <w:tcMar>
              <w:top w:w="0" w:type="dxa"/>
              <w:bottom w:w="0" w:type="dxa"/>
            </w:tcMar>
            <w:vAlign w:val="center"/>
          </w:tcPr>
          <w:p w14:paraId="221DAF61" w14:textId="77777777" w:rsidR="001B362E" w:rsidRDefault="001C1D7A">
            <w:pPr>
              <w:keepNext/>
              <w:keepLines/>
              <w:spacing w:after="0" w:line="240" w:lineRule="auto"/>
              <w:jc w:val="right"/>
            </w:pPr>
            <w:r>
              <w:rPr>
                <w:sz w:val="18"/>
              </w:rPr>
              <w:t>37.785,39</w:t>
            </w:r>
          </w:p>
        </w:tc>
        <w:tc>
          <w:tcPr>
            <w:tcW w:w="1860" w:type="dxa"/>
            <w:tcMar>
              <w:top w:w="0" w:type="dxa"/>
              <w:bottom w:w="0" w:type="dxa"/>
            </w:tcMar>
            <w:vAlign w:val="center"/>
          </w:tcPr>
          <w:p w14:paraId="67DDDD59" w14:textId="77777777" w:rsidR="001B362E" w:rsidRDefault="001C1D7A">
            <w:pPr>
              <w:keepNext/>
              <w:keepLines/>
              <w:spacing w:after="0" w:line="240" w:lineRule="auto"/>
              <w:jc w:val="right"/>
            </w:pPr>
            <w:r>
              <w:rPr>
                <w:sz w:val="18"/>
              </w:rPr>
              <w:t>75.562,84</w:t>
            </w:r>
          </w:p>
        </w:tc>
        <w:tc>
          <w:tcPr>
            <w:tcW w:w="700" w:type="dxa"/>
            <w:tcMar>
              <w:top w:w="0" w:type="dxa"/>
              <w:bottom w:w="0" w:type="dxa"/>
            </w:tcMar>
            <w:vAlign w:val="center"/>
          </w:tcPr>
          <w:p w14:paraId="4581999D" w14:textId="77777777" w:rsidR="001B362E" w:rsidRDefault="001C1D7A">
            <w:pPr>
              <w:keepNext/>
              <w:keepLines/>
              <w:spacing w:after="0" w:line="240" w:lineRule="auto"/>
              <w:jc w:val="right"/>
            </w:pPr>
            <w:r>
              <w:rPr>
                <w:sz w:val="18"/>
              </w:rPr>
              <w:t>200,0</w:t>
            </w:r>
          </w:p>
        </w:tc>
      </w:tr>
    </w:tbl>
    <w:p w14:paraId="47DF4714" w14:textId="77777777" w:rsidR="001B362E" w:rsidRDefault="001B362E">
      <w:pPr>
        <w:spacing w:after="0"/>
      </w:pPr>
    </w:p>
    <w:p w14:paraId="5BB6A142" w14:textId="77777777" w:rsidR="001B362E" w:rsidRDefault="001C1D7A">
      <w:r>
        <w:t>Rashodi na kontu 4227 uređaji, strojevi i oprema za ostale namjene povećani su za 100 % u odnosu na 2024. godinu, zbog opremanja dječjeg vrtića Pupoljak, te nabave opreme za videonadzor.</w:t>
      </w:r>
    </w:p>
    <w:p w14:paraId="08553666" w14:textId="77777777" w:rsidR="001B362E" w:rsidRDefault="001B362E"/>
    <w:p w14:paraId="48149D3A" w14:textId="77777777" w:rsidR="001B362E" w:rsidRDefault="001C1D7A">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398523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E0A06C"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772DB9"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21C78F"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6F17904" w14:textId="77777777" w:rsidR="001B362E" w:rsidRDefault="001C1D7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8BC4D8A" w14:textId="77777777" w:rsidR="001B362E" w:rsidRDefault="001C1D7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F7A516" w14:textId="77777777" w:rsidR="001B362E" w:rsidRDefault="001C1D7A">
            <w:pPr>
              <w:keepNext/>
              <w:keepLines/>
              <w:spacing w:after="0" w:line="240" w:lineRule="auto"/>
              <w:jc w:val="center"/>
            </w:pPr>
            <w:r>
              <w:rPr>
                <w:b/>
                <w:sz w:val="18"/>
              </w:rPr>
              <w:t>Indeks (%)</w:t>
            </w:r>
          </w:p>
        </w:tc>
      </w:tr>
      <w:tr w:rsidR="001B362E" w14:paraId="2B2310A8" w14:textId="77777777">
        <w:tblPrEx>
          <w:tblCellMar>
            <w:top w:w="0" w:type="dxa"/>
            <w:bottom w:w="0" w:type="dxa"/>
          </w:tblCellMar>
        </w:tblPrEx>
        <w:trPr>
          <w:cantSplit/>
          <w:trHeight w:val="560"/>
        </w:trPr>
        <w:tc>
          <w:tcPr>
            <w:tcW w:w="700" w:type="dxa"/>
            <w:tcMar>
              <w:top w:w="0" w:type="dxa"/>
              <w:bottom w:w="0" w:type="dxa"/>
            </w:tcMar>
            <w:vAlign w:val="center"/>
          </w:tcPr>
          <w:p w14:paraId="43BDE4A0" w14:textId="77777777" w:rsidR="001B362E" w:rsidRDefault="001C1D7A">
            <w:pPr>
              <w:keepNext/>
              <w:keepLines/>
              <w:spacing w:after="0" w:line="240" w:lineRule="auto"/>
            </w:pPr>
            <w:r>
              <w:rPr>
                <w:sz w:val="18"/>
              </w:rPr>
              <w:t>8</w:t>
            </w:r>
          </w:p>
        </w:tc>
        <w:tc>
          <w:tcPr>
            <w:tcW w:w="3180" w:type="dxa"/>
            <w:tcMar>
              <w:top w:w="0" w:type="dxa"/>
              <w:bottom w:w="0" w:type="dxa"/>
            </w:tcMar>
            <w:vAlign w:val="center"/>
          </w:tcPr>
          <w:p w14:paraId="66F893F5" w14:textId="77777777" w:rsidR="001B362E" w:rsidRDefault="001C1D7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95102EE" w14:textId="77777777" w:rsidR="001B362E" w:rsidRDefault="001C1D7A">
            <w:pPr>
              <w:keepNext/>
              <w:keepLines/>
              <w:spacing w:after="0" w:line="240" w:lineRule="auto"/>
            </w:pPr>
            <w:r>
              <w:rPr>
                <w:sz w:val="18"/>
              </w:rPr>
              <w:t>8</w:t>
            </w:r>
          </w:p>
        </w:tc>
        <w:tc>
          <w:tcPr>
            <w:tcW w:w="1860" w:type="dxa"/>
            <w:tcMar>
              <w:top w:w="0" w:type="dxa"/>
              <w:bottom w:w="0" w:type="dxa"/>
            </w:tcMar>
            <w:vAlign w:val="center"/>
          </w:tcPr>
          <w:p w14:paraId="63EA5800" w14:textId="77777777" w:rsidR="001B362E" w:rsidRDefault="001C1D7A">
            <w:pPr>
              <w:keepNext/>
              <w:keepLines/>
              <w:spacing w:after="0" w:line="240" w:lineRule="auto"/>
              <w:jc w:val="right"/>
            </w:pPr>
            <w:r>
              <w:rPr>
                <w:sz w:val="18"/>
              </w:rPr>
              <w:t>0,00</w:t>
            </w:r>
          </w:p>
        </w:tc>
        <w:tc>
          <w:tcPr>
            <w:tcW w:w="1860" w:type="dxa"/>
            <w:tcMar>
              <w:top w:w="0" w:type="dxa"/>
              <w:bottom w:w="0" w:type="dxa"/>
            </w:tcMar>
            <w:vAlign w:val="center"/>
          </w:tcPr>
          <w:p w14:paraId="303ED549" w14:textId="77777777" w:rsidR="001B362E" w:rsidRDefault="001C1D7A">
            <w:pPr>
              <w:keepNext/>
              <w:keepLines/>
              <w:spacing w:after="0" w:line="240" w:lineRule="auto"/>
              <w:jc w:val="right"/>
            </w:pPr>
            <w:r>
              <w:rPr>
                <w:sz w:val="18"/>
              </w:rPr>
              <w:t>259.875,00</w:t>
            </w:r>
          </w:p>
        </w:tc>
        <w:tc>
          <w:tcPr>
            <w:tcW w:w="700" w:type="dxa"/>
            <w:tcMar>
              <w:top w:w="0" w:type="dxa"/>
              <w:bottom w:w="0" w:type="dxa"/>
            </w:tcMar>
            <w:vAlign w:val="center"/>
          </w:tcPr>
          <w:p w14:paraId="758930D3" w14:textId="77777777" w:rsidR="001B362E" w:rsidRDefault="001C1D7A">
            <w:pPr>
              <w:keepNext/>
              <w:keepLines/>
              <w:spacing w:after="0" w:line="240" w:lineRule="auto"/>
              <w:jc w:val="right"/>
            </w:pPr>
            <w:r>
              <w:rPr>
                <w:sz w:val="18"/>
              </w:rPr>
              <w:t>-</w:t>
            </w:r>
          </w:p>
        </w:tc>
      </w:tr>
    </w:tbl>
    <w:p w14:paraId="7B42B633" w14:textId="77777777" w:rsidR="001B362E" w:rsidRDefault="001B362E">
      <w:pPr>
        <w:spacing w:after="0"/>
      </w:pPr>
    </w:p>
    <w:p w14:paraId="4954B312" w14:textId="77777777" w:rsidR="001B362E" w:rsidRDefault="001C1D7A">
      <w:r>
        <w:t>Primitci na kontu 8 primitci od financijske imovine i zaduživanja odnose se na prodaju udjela u poduzeću Polet d.o.o.</w:t>
      </w:r>
    </w:p>
    <w:p w14:paraId="51668CC9" w14:textId="77777777" w:rsidR="001B362E" w:rsidRDefault="001B362E"/>
    <w:p w14:paraId="6633CD4A" w14:textId="77777777" w:rsidR="001B362E" w:rsidRDefault="001C1D7A">
      <w:pPr>
        <w:keepNext/>
        <w:spacing w:line="240" w:lineRule="auto"/>
        <w:jc w:val="center"/>
      </w:pPr>
      <w:r>
        <w:rPr>
          <w:b/>
          <w:sz w:val="28"/>
        </w:rPr>
        <w:lastRenderedPageBreak/>
        <w:t>Bilanca</w:t>
      </w:r>
    </w:p>
    <w:p w14:paraId="6C577AA7" w14:textId="77777777" w:rsidR="001B362E" w:rsidRDefault="001C1D7A">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5B4044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0952A6"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B49F6B"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54A21C"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DC0F00"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9382C2D"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035E2A" w14:textId="77777777" w:rsidR="001B362E" w:rsidRDefault="001C1D7A">
            <w:pPr>
              <w:keepNext/>
              <w:keepLines/>
              <w:spacing w:after="0" w:line="240" w:lineRule="auto"/>
              <w:jc w:val="center"/>
            </w:pPr>
            <w:r>
              <w:rPr>
                <w:b/>
                <w:sz w:val="18"/>
              </w:rPr>
              <w:t>Indeks (%)</w:t>
            </w:r>
          </w:p>
        </w:tc>
      </w:tr>
      <w:tr w:rsidR="001B362E" w14:paraId="57604273" w14:textId="77777777">
        <w:tblPrEx>
          <w:tblCellMar>
            <w:top w:w="0" w:type="dxa"/>
            <w:bottom w:w="0" w:type="dxa"/>
          </w:tblCellMar>
        </w:tblPrEx>
        <w:trPr>
          <w:cantSplit/>
          <w:trHeight w:val="560"/>
        </w:trPr>
        <w:tc>
          <w:tcPr>
            <w:tcW w:w="700" w:type="dxa"/>
            <w:tcMar>
              <w:top w:w="0" w:type="dxa"/>
              <w:bottom w:w="0" w:type="dxa"/>
            </w:tcMar>
            <w:vAlign w:val="center"/>
          </w:tcPr>
          <w:p w14:paraId="4B8B1B65" w14:textId="77777777" w:rsidR="001B362E" w:rsidRDefault="001C1D7A">
            <w:pPr>
              <w:keepNext/>
              <w:keepLines/>
              <w:spacing w:after="0" w:line="240" w:lineRule="auto"/>
            </w:pPr>
            <w:r>
              <w:rPr>
                <w:sz w:val="18"/>
              </w:rPr>
              <w:t>012</w:t>
            </w:r>
          </w:p>
        </w:tc>
        <w:tc>
          <w:tcPr>
            <w:tcW w:w="3180" w:type="dxa"/>
            <w:tcMar>
              <w:top w:w="0" w:type="dxa"/>
              <w:bottom w:w="0" w:type="dxa"/>
            </w:tcMar>
            <w:vAlign w:val="center"/>
          </w:tcPr>
          <w:p w14:paraId="32A6BE58" w14:textId="77777777" w:rsidR="001B362E" w:rsidRDefault="001C1D7A">
            <w:pPr>
              <w:keepNext/>
              <w:keepLines/>
              <w:spacing w:after="0" w:line="240" w:lineRule="auto"/>
            </w:pPr>
            <w:r>
              <w:rPr>
                <w:sz w:val="18"/>
              </w:rPr>
              <w:t>Nematerijalna imovina</w:t>
            </w:r>
          </w:p>
        </w:tc>
        <w:tc>
          <w:tcPr>
            <w:tcW w:w="700" w:type="dxa"/>
            <w:tcMar>
              <w:top w:w="0" w:type="dxa"/>
              <w:bottom w:w="0" w:type="dxa"/>
            </w:tcMar>
            <w:vAlign w:val="center"/>
          </w:tcPr>
          <w:p w14:paraId="41E108D7" w14:textId="77777777" w:rsidR="001B362E" w:rsidRDefault="001C1D7A">
            <w:pPr>
              <w:keepNext/>
              <w:keepLines/>
              <w:spacing w:after="0" w:line="240" w:lineRule="auto"/>
            </w:pPr>
            <w:r>
              <w:rPr>
                <w:sz w:val="18"/>
              </w:rPr>
              <w:t>012</w:t>
            </w:r>
          </w:p>
        </w:tc>
        <w:tc>
          <w:tcPr>
            <w:tcW w:w="1860" w:type="dxa"/>
            <w:tcMar>
              <w:top w:w="0" w:type="dxa"/>
              <w:bottom w:w="0" w:type="dxa"/>
            </w:tcMar>
            <w:vAlign w:val="center"/>
          </w:tcPr>
          <w:p w14:paraId="711CF5E5" w14:textId="77777777" w:rsidR="001B362E" w:rsidRDefault="001C1D7A">
            <w:pPr>
              <w:keepNext/>
              <w:keepLines/>
              <w:spacing w:after="0" w:line="240" w:lineRule="auto"/>
              <w:jc w:val="right"/>
            </w:pPr>
            <w:r>
              <w:rPr>
                <w:sz w:val="18"/>
              </w:rPr>
              <w:t>5.972,77</w:t>
            </w:r>
          </w:p>
        </w:tc>
        <w:tc>
          <w:tcPr>
            <w:tcW w:w="1860" w:type="dxa"/>
            <w:tcMar>
              <w:top w:w="0" w:type="dxa"/>
              <w:bottom w:w="0" w:type="dxa"/>
            </w:tcMar>
            <w:vAlign w:val="center"/>
          </w:tcPr>
          <w:p w14:paraId="7F125191" w14:textId="77777777" w:rsidR="001B362E" w:rsidRDefault="001C1D7A">
            <w:pPr>
              <w:keepNext/>
              <w:keepLines/>
              <w:spacing w:after="0" w:line="240" w:lineRule="auto"/>
              <w:jc w:val="right"/>
            </w:pPr>
            <w:r>
              <w:rPr>
                <w:sz w:val="18"/>
              </w:rPr>
              <w:t>7.672,72</w:t>
            </w:r>
          </w:p>
        </w:tc>
        <w:tc>
          <w:tcPr>
            <w:tcW w:w="700" w:type="dxa"/>
            <w:tcMar>
              <w:top w:w="0" w:type="dxa"/>
              <w:bottom w:w="0" w:type="dxa"/>
            </w:tcMar>
            <w:vAlign w:val="center"/>
          </w:tcPr>
          <w:p w14:paraId="7CD01FC8" w14:textId="77777777" w:rsidR="001B362E" w:rsidRDefault="001C1D7A">
            <w:pPr>
              <w:keepNext/>
              <w:keepLines/>
              <w:spacing w:after="0" w:line="240" w:lineRule="auto"/>
              <w:jc w:val="right"/>
            </w:pPr>
            <w:r>
              <w:rPr>
                <w:sz w:val="18"/>
              </w:rPr>
              <w:t>128,5</w:t>
            </w:r>
          </w:p>
        </w:tc>
      </w:tr>
    </w:tbl>
    <w:p w14:paraId="22E22D4A" w14:textId="77777777" w:rsidR="001B362E" w:rsidRDefault="001B362E">
      <w:pPr>
        <w:spacing w:after="0"/>
      </w:pPr>
    </w:p>
    <w:p w14:paraId="59F03EDB" w14:textId="77777777" w:rsidR="001B362E" w:rsidRDefault="001C1D7A">
      <w:r>
        <w:t>Na kontu 012 nematerijalna imovina, došlo je do povećanja za 28,5 % u odnosu na 2024. godinu, zbog nabave licence za nova računala, a odnosi se na nadležni proračun.</w:t>
      </w:r>
    </w:p>
    <w:p w14:paraId="70A842A1" w14:textId="77777777" w:rsidR="001B362E" w:rsidRDefault="001B362E"/>
    <w:p w14:paraId="021109FC" w14:textId="77777777" w:rsidR="001B362E" w:rsidRDefault="001C1D7A">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0E4EA1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B8C6CF"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5AFF13B"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642D8"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FF2D37"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9765B2B"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C943F55" w14:textId="77777777" w:rsidR="001B362E" w:rsidRDefault="001C1D7A">
            <w:pPr>
              <w:keepNext/>
              <w:keepLines/>
              <w:spacing w:after="0" w:line="240" w:lineRule="auto"/>
              <w:jc w:val="center"/>
            </w:pPr>
            <w:r>
              <w:rPr>
                <w:b/>
                <w:sz w:val="18"/>
              </w:rPr>
              <w:t>Indeks (%)</w:t>
            </w:r>
          </w:p>
        </w:tc>
      </w:tr>
      <w:tr w:rsidR="001B362E" w14:paraId="3A95F48F" w14:textId="77777777">
        <w:tblPrEx>
          <w:tblCellMar>
            <w:top w:w="0" w:type="dxa"/>
            <w:bottom w:w="0" w:type="dxa"/>
          </w:tblCellMar>
        </w:tblPrEx>
        <w:trPr>
          <w:cantSplit/>
          <w:trHeight w:val="560"/>
        </w:trPr>
        <w:tc>
          <w:tcPr>
            <w:tcW w:w="700" w:type="dxa"/>
            <w:tcMar>
              <w:top w:w="0" w:type="dxa"/>
              <w:bottom w:w="0" w:type="dxa"/>
            </w:tcMar>
            <w:vAlign w:val="center"/>
          </w:tcPr>
          <w:p w14:paraId="7990F519" w14:textId="77777777" w:rsidR="001B362E" w:rsidRDefault="001C1D7A">
            <w:pPr>
              <w:keepNext/>
              <w:keepLines/>
              <w:spacing w:after="0" w:line="240" w:lineRule="auto"/>
            </w:pPr>
            <w:r>
              <w:rPr>
                <w:sz w:val="18"/>
              </w:rPr>
              <w:t>0226</w:t>
            </w:r>
          </w:p>
        </w:tc>
        <w:tc>
          <w:tcPr>
            <w:tcW w:w="3180" w:type="dxa"/>
            <w:tcMar>
              <w:top w:w="0" w:type="dxa"/>
              <w:bottom w:w="0" w:type="dxa"/>
            </w:tcMar>
            <w:vAlign w:val="center"/>
          </w:tcPr>
          <w:p w14:paraId="4917C681" w14:textId="77777777" w:rsidR="001B362E" w:rsidRDefault="001C1D7A">
            <w:pPr>
              <w:keepNext/>
              <w:keepLines/>
              <w:spacing w:after="0" w:line="240" w:lineRule="auto"/>
            </w:pPr>
            <w:r>
              <w:rPr>
                <w:sz w:val="18"/>
              </w:rPr>
              <w:t>Sportska i glazbena oprema</w:t>
            </w:r>
          </w:p>
        </w:tc>
        <w:tc>
          <w:tcPr>
            <w:tcW w:w="700" w:type="dxa"/>
            <w:tcMar>
              <w:top w:w="0" w:type="dxa"/>
              <w:bottom w:w="0" w:type="dxa"/>
            </w:tcMar>
            <w:vAlign w:val="center"/>
          </w:tcPr>
          <w:p w14:paraId="3027179C" w14:textId="77777777" w:rsidR="001B362E" w:rsidRDefault="001C1D7A">
            <w:pPr>
              <w:keepNext/>
              <w:keepLines/>
              <w:spacing w:after="0" w:line="240" w:lineRule="auto"/>
            </w:pPr>
            <w:r>
              <w:rPr>
                <w:sz w:val="18"/>
              </w:rPr>
              <w:t>0226</w:t>
            </w:r>
          </w:p>
        </w:tc>
        <w:tc>
          <w:tcPr>
            <w:tcW w:w="1860" w:type="dxa"/>
            <w:tcMar>
              <w:top w:w="0" w:type="dxa"/>
              <w:bottom w:w="0" w:type="dxa"/>
            </w:tcMar>
            <w:vAlign w:val="center"/>
          </w:tcPr>
          <w:p w14:paraId="66C17FDB" w14:textId="77777777" w:rsidR="001B362E" w:rsidRDefault="001C1D7A">
            <w:pPr>
              <w:keepNext/>
              <w:keepLines/>
              <w:spacing w:after="0" w:line="240" w:lineRule="auto"/>
              <w:jc w:val="right"/>
            </w:pPr>
            <w:r>
              <w:rPr>
                <w:sz w:val="18"/>
              </w:rPr>
              <w:t>11.980,96</w:t>
            </w:r>
          </w:p>
        </w:tc>
        <w:tc>
          <w:tcPr>
            <w:tcW w:w="1860" w:type="dxa"/>
            <w:tcMar>
              <w:top w:w="0" w:type="dxa"/>
              <w:bottom w:w="0" w:type="dxa"/>
            </w:tcMar>
            <w:vAlign w:val="center"/>
          </w:tcPr>
          <w:p w14:paraId="2852D9A3" w14:textId="77777777" w:rsidR="001B362E" w:rsidRDefault="001C1D7A">
            <w:pPr>
              <w:keepNext/>
              <w:keepLines/>
              <w:spacing w:after="0" w:line="240" w:lineRule="auto"/>
              <w:jc w:val="right"/>
            </w:pPr>
            <w:r>
              <w:rPr>
                <w:sz w:val="18"/>
              </w:rPr>
              <w:t>104.284,97</w:t>
            </w:r>
          </w:p>
        </w:tc>
        <w:tc>
          <w:tcPr>
            <w:tcW w:w="700" w:type="dxa"/>
            <w:tcMar>
              <w:top w:w="0" w:type="dxa"/>
              <w:bottom w:w="0" w:type="dxa"/>
            </w:tcMar>
            <w:vAlign w:val="center"/>
          </w:tcPr>
          <w:p w14:paraId="0D741D55" w14:textId="77777777" w:rsidR="001B362E" w:rsidRDefault="001C1D7A">
            <w:pPr>
              <w:keepNext/>
              <w:keepLines/>
              <w:spacing w:after="0" w:line="240" w:lineRule="auto"/>
              <w:jc w:val="right"/>
            </w:pPr>
            <w:r>
              <w:rPr>
                <w:sz w:val="18"/>
              </w:rPr>
              <w:t>870,4</w:t>
            </w:r>
          </w:p>
        </w:tc>
      </w:tr>
    </w:tbl>
    <w:p w14:paraId="25D3F202" w14:textId="77777777" w:rsidR="001B362E" w:rsidRDefault="001B362E">
      <w:pPr>
        <w:spacing w:after="0"/>
      </w:pPr>
    </w:p>
    <w:p w14:paraId="4EF80B52" w14:textId="77777777" w:rsidR="001B362E" w:rsidRDefault="001C1D7A">
      <w:r>
        <w:t>Konto 0226 sportska i glazbena oprema povećana je za 823,6 % u odnosu na 2024. godinu, zbog nabave sportskog semafora na NK Otoku, a odnosi se na nadležni proračun.</w:t>
      </w:r>
    </w:p>
    <w:p w14:paraId="1CD72567" w14:textId="77777777" w:rsidR="001B362E" w:rsidRDefault="001B362E"/>
    <w:p w14:paraId="04C2A761" w14:textId="77777777" w:rsidR="001B362E" w:rsidRDefault="001C1D7A">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133EE3F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9BE83D"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A294840"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C57BCA"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2AEB97"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9CFFC2"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E0C91B7" w14:textId="77777777" w:rsidR="001B362E" w:rsidRDefault="001C1D7A">
            <w:pPr>
              <w:keepNext/>
              <w:keepLines/>
              <w:spacing w:after="0" w:line="240" w:lineRule="auto"/>
              <w:jc w:val="center"/>
            </w:pPr>
            <w:r>
              <w:rPr>
                <w:b/>
                <w:sz w:val="18"/>
              </w:rPr>
              <w:t>Indeks (%)</w:t>
            </w:r>
          </w:p>
        </w:tc>
      </w:tr>
      <w:tr w:rsidR="001B362E" w14:paraId="0AA2F7E6" w14:textId="77777777">
        <w:tblPrEx>
          <w:tblCellMar>
            <w:top w:w="0" w:type="dxa"/>
            <w:bottom w:w="0" w:type="dxa"/>
          </w:tblCellMar>
        </w:tblPrEx>
        <w:trPr>
          <w:cantSplit/>
          <w:trHeight w:val="560"/>
        </w:trPr>
        <w:tc>
          <w:tcPr>
            <w:tcW w:w="700" w:type="dxa"/>
            <w:tcMar>
              <w:top w:w="0" w:type="dxa"/>
              <w:bottom w:w="0" w:type="dxa"/>
            </w:tcMar>
            <w:vAlign w:val="center"/>
          </w:tcPr>
          <w:p w14:paraId="6EBC1CF8" w14:textId="77777777" w:rsidR="001B362E" w:rsidRDefault="001C1D7A">
            <w:pPr>
              <w:keepNext/>
              <w:keepLines/>
              <w:spacing w:after="0" w:line="240" w:lineRule="auto"/>
            </w:pPr>
            <w:r>
              <w:rPr>
                <w:sz w:val="18"/>
              </w:rPr>
              <w:t>0227</w:t>
            </w:r>
          </w:p>
        </w:tc>
        <w:tc>
          <w:tcPr>
            <w:tcW w:w="3180" w:type="dxa"/>
            <w:tcMar>
              <w:top w:w="0" w:type="dxa"/>
              <w:bottom w:w="0" w:type="dxa"/>
            </w:tcMar>
            <w:vAlign w:val="center"/>
          </w:tcPr>
          <w:p w14:paraId="41B056AC" w14:textId="77777777" w:rsidR="001B362E" w:rsidRDefault="001C1D7A">
            <w:pPr>
              <w:keepNext/>
              <w:keepLines/>
              <w:spacing w:after="0" w:line="240" w:lineRule="auto"/>
            </w:pPr>
            <w:r>
              <w:rPr>
                <w:sz w:val="18"/>
              </w:rPr>
              <w:t>Uređaji, strojevi i oprema za ostale namjene</w:t>
            </w:r>
          </w:p>
        </w:tc>
        <w:tc>
          <w:tcPr>
            <w:tcW w:w="700" w:type="dxa"/>
            <w:tcMar>
              <w:top w:w="0" w:type="dxa"/>
              <w:bottom w:w="0" w:type="dxa"/>
            </w:tcMar>
            <w:vAlign w:val="center"/>
          </w:tcPr>
          <w:p w14:paraId="24F9D2A3" w14:textId="77777777" w:rsidR="001B362E" w:rsidRDefault="001C1D7A">
            <w:pPr>
              <w:keepNext/>
              <w:keepLines/>
              <w:spacing w:after="0" w:line="240" w:lineRule="auto"/>
            </w:pPr>
            <w:r>
              <w:rPr>
                <w:sz w:val="18"/>
              </w:rPr>
              <w:t>0227</w:t>
            </w:r>
          </w:p>
        </w:tc>
        <w:tc>
          <w:tcPr>
            <w:tcW w:w="1860" w:type="dxa"/>
            <w:tcMar>
              <w:top w:w="0" w:type="dxa"/>
              <w:bottom w:w="0" w:type="dxa"/>
            </w:tcMar>
            <w:vAlign w:val="center"/>
          </w:tcPr>
          <w:p w14:paraId="1F127C00" w14:textId="77777777" w:rsidR="001B362E" w:rsidRDefault="001C1D7A">
            <w:pPr>
              <w:keepNext/>
              <w:keepLines/>
              <w:spacing w:after="0" w:line="240" w:lineRule="auto"/>
              <w:jc w:val="right"/>
            </w:pPr>
            <w:r>
              <w:rPr>
                <w:sz w:val="18"/>
              </w:rPr>
              <w:t>79.379,63</w:t>
            </w:r>
          </w:p>
        </w:tc>
        <w:tc>
          <w:tcPr>
            <w:tcW w:w="1860" w:type="dxa"/>
            <w:tcMar>
              <w:top w:w="0" w:type="dxa"/>
              <w:bottom w:w="0" w:type="dxa"/>
            </w:tcMar>
            <w:vAlign w:val="center"/>
          </w:tcPr>
          <w:p w14:paraId="232BDC1A" w14:textId="77777777" w:rsidR="001B362E" w:rsidRDefault="001C1D7A">
            <w:pPr>
              <w:keepNext/>
              <w:keepLines/>
              <w:spacing w:after="0" w:line="240" w:lineRule="auto"/>
              <w:jc w:val="right"/>
            </w:pPr>
            <w:r>
              <w:rPr>
                <w:sz w:val="18"/>
              </w:rPr>
              <w:t>109.951,46</w:t>
            </w:r>
          </w:p>
        </w:tc>
        <w:tc>
          <w:tcPr>
            <w:tcW w:w="700" w:type="dxa"/>
            <w:tcMar>
              <w:top w:w="0" w:type="dxa"/>
              <w:bottom w:w="0" w:type="dxa"/>
            </w:tcMar>
            <w:vAlign w:val="center"/>
          </w:tcPr>
          <w:p w14:paraId="64A78B96" w14:textId="77777777" w:rsidR="001B362E" w:rsidRDefault="001C1D7A">
            <w:pPr>
              <w:keepNext/>
              <w:keepLines/>
              <w:spacing w:after="0" w:line="240" w:lineRule="auto"/>
              <w:jc w:val="right"/>
            </w:pPr>
            <w:r>
              <w:rPr>
                <w:sz w:val="18"/>
              </w:rPr>
              <w:t>138,5</w:t>
            </w:r>
          </w:p>
        </w:tc>
      </w:tr>
    </w:tbl>
    <w:p w14:paraId="290CF671" w14:textId="77777777" w:rsidR="001B362E" w:rsidRDefault="001B362E">
      <w:pPr>
        <w:spacing w:after="0"/>
      </w:pPr>
    </w:p>
    <w:p w14:paraId="71571641" w14:textId="77777777" w:rsidR="001B362E" w:rsidRDefault="001C1D7A">
      <w:r>
        <w:t>Na kontu 0227 uređaji, strojevi i oprema za ostale namjene povećani su za 38,5 % u odnosu na 2024. godinu zbog opremanja dječjeg vrtića Pupoljak. Promjena se odnosi na nadležni proračun i Dječji vrtić Pupoljak.</w:t>
      </w:r>
    </w:p>
    <w:p w14:paraId="34FDA736" w14:textId="77777777" w:rsidR="001B362E" w:rsidRDefault="001B362E"/>
    <w:p w14:paraId="0204962B" w14:textId="77777777" w:rsidR="001B362E" w:rsidRDefault="001C1D7A">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608F4AC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01910B"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82606ED"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5E477D8"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D68E8C"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A275067"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1443417" w14:textId="77777777" w:rsidR="001B362E" w:rsidRDefault="001C1D7A">
            <w:pPr>
              <w:keepNext/>
              <w:keepLines/>
              <w:spacing w:after="0" w:line="240" w:lineRule="auto"/>
              <w:jc w:val="center"/>
            </w:pPr>
            <w:r>
              <w:rPr>
                <w:b/>
                <w:sz w:val="18"/>
              </w:rPr>
              <w:t>Indeks (%)</w:t>
            </w:r>
          </w:p>
        </w:tc>
      </w:tr>
      <w:tr w:rsidR="001B362E" w14:paraId="2AB68A42" w14:textId="77777777">
        <w:tblPrEx>
          <w:tblCellMar>
            <w:top w:w="0" w:type="dxa"/>
            <w:bottom w:w="0" w:type="dxa"/>
          </w:tblCellMar>
        </w:tblPrEx>
        <w:trPr>
          <w:cantSplit/>
          <w:trHeight w:val="560"/>
        </w:trPr>
        <w:tc>
          <w:tcPr>
            <w:tcW w:w="700" w:type="dxa"/>
            <w:tcMar>
              <w:top w:w="0" w:type="dxa"/>
              <w:bottom w:w="0" w:type="dxa"/>
            </w:tcMar>
            <w:vAlign w:val="center"/>
          </w:tcPr>
          <w:p w14:paraId="74353212" w14:textId="77777777" w:rsidR="001B362E" w:rsidRDefault="001C1D7A">
            <w:pPr>
              <w:keepNext/>
              <w:keepLines/>
              <w:spacing w:after="0" w:line="240" w:lineRule="auto"/>
            </w:pPr>
            <w:r>
              <w:rPr>
                <w:sz w:val="18"/>
              </w:rPr>
              <w:t>1541</w:t>
            </w:r>
          </w:p>
        </w:tc>
        <w:tc>
          <w:tcPr>
            <w:tcW w:w="3180" w:type="dxa"/>
            <w:tcMar>
              <w:top w:w="0" w:type="dxa"/>
              <w:bottom w:w="0" w:type="dxa"/>
            </w:tcMar>
            <w:vAlign w:val="center"/>
          </w:tcPr>
          <w:p w14:paraId="37CEE50F" w14:textId="77777777" w:rsidR="001B362E" w:rsidRDefault="001C1D7A">
            <w:pPr>
              <w:keepNext/>
              <w:keepLines/>
              <w:spacing w:after="0" w:line="240" w:lineRule="auto"/>
            </w:pPr>
            <w:r>
              <w:rPr>
                <w:sz w:val="18"/>
              </w:rPr>
              <w:t>Dionice i udjeli u glavnici tuzemnih trgovačkih društava izvan javnog sektora</w:t>
            </w:r>
          </w:p>
        </w:tc>
        <w:tc>
          <w:tcPr>
            <w:tcW w:w="700" w:type="dxa"/>
            <w:tcMar>
              <w:top w:w="0" w:type="dxa"/>
              <w:bottom w:w="0" w:type="dxa"/>
            </w:tcMar>
            <w:vAlign w:val="center"/>
          </w:tcPr>
          <w:p w14:paraId="1736487E" w14:textId="77777777" w:rsidR="001B362E" w:rsidRDefault="001C1D7A">
            <w:pPr>
              <w:keepNext/>
              <w:keepLines/>
              <w:spacing w:after="0" w:line="240" w:lineRule="auto"/>
            </w:pPr>
            <w:r>
              <w:rPr>
                <w:sz w:val="18"/>
              </w:rPr>
              <w:t>1541</w:t>
            </w:r>
          </w:p>
        </w:tc>
        <w:tc>
          <w:tcPr>
            <w:tcW w:w="1860" w:type="dxa"/>
            <w:tcMar>
              <w:top w:w="0" w:type="dxa"/>
              <w:bottom w:w="0" w:type="dxa"/>
            </w:tcMar>
            <w:vAlign w:val="center"/>
          </w:tcPr>
          <w:p w14:paraId="1887CDA9" w14:textId="77777777" w:rsidR="001B362E" w:rsidRDefault="001C1D7A">
            <w:pPr>
              <w:keepNext/>
              <w:keepLines/>
              <w:spacing w:after="0" w:line="240" w:lineRule="auto"/>
              <w:jc w:val="right"/>
            </w:pPr>
            <w:r>
              <w:rPr>
                <w:sz w:val="18"/>
              </w:rPr>
              <w:t>1.597.710,72</w:t>
            </w:r>
          </w:p>
        </w:tc>
        <w:tc>
          <w:tcPr>
            <w:tcW w:w="1860" w:type="dxa"/>
            <w:tcMar>
              <w:top w:w="0" w:type="dxa"/>
              <w:bottom w:w="0" w:type="dxa"/>
            </w:tcMar>
            <w:vAlign w:val="center"/>
          </w:tcPr>
          <w:p w14:paraId="2CE9959A" w14:textId="77777777" w:rsidR="001B362E" w:rsidRDefault="001C1D7A">
            <w:pPr>
              <w:keepNext/>
              <w:keepLines/>
              <w:spacing w:after="0" w:line="240" w:lineRule="auto"/>
              <w:jc w:val="right"/>
            </w:pPr>
            <w:r>
              <w:rPr>
                <w:sz w:val="18"/>
              </w:rPr>
              <w:t>1.381.380,00</w:t>
            </w:r>
          </w:p>
        </w:tc>
        <w:tc>
          <w:tcPr>
            <w:tcW w:w="700" w:type="dxa"/>
            <w:tcMar>
              <w:top w:w="0" w:type="dxa"/>
              <w:bottom w:w="0" w:type="dxa"/>
            </w:tcMar>
            <w:vAlign w:val="center"/>
          </w:tcPr>
          <w:p w14:paraId="181CFA2F" w14:textId="77777777" w:rsidR="001B362E" w:rsidRDefault="001C1D7A">
            <w:pPr>
              <w:keepNext/>
              <w:keepLines/>
              <w:spacing w:after="0" w:line="240" w:lineRule="auto"/>
              <w:jc w:val="right"/>
            </w:pPr>
            <w:r>
              <w:rPr>
                <w:sz w:val="18"/>
              </w:rPr>
              <w:t>86,5</w:t>
            </w:r>
          </w:p>
        </w:tc>
      </w:tr>
    </w:tbl>
    <w:p w14:paraId="37E2CDC2" w14:textId="77777777" w:rsidR="001B362E" w:rsidRDefault="001B362E">
      <w:pPr>
        <w:spacing w:after="0"/>
      </w:pPr>
    </w:p>
    <w:p w14:paraId="12FC65C5" w14:textId="77777777" w:rsidR="001B362E" w:rsidRDefault="001C1D7A">
      <w:r>
        <w:t>Potraživanja na kontu 1541 dionice i udjeli u glavnici tuzemnih trgovačkih društava izvan javnog sektora smanjen je za 13,5 % u odnosu na 2024. godinu, zbog prodaje udjela Polet d.o.o. Vinkovci.  Odnosi se na nadležni proračun.</w:t>
      </w:r>
    </w:p>
    <w:p w14:paraId="77D8E552" w14:textId="77777777" w:rsidR="001B362E" w:rsidRDefault="001B362E"/>
    <w:p w14:paraId="56E261D0" w14:textId="77777777" w:rsidR="001B362E" w:rsidRDefault="001C1D7A">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01FA703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CF5F79"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8E88E9"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273852"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A88E49"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66760F5"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6FF7A0F" w14:textId="77777777" w:rsidR="001B362E" w:rsidRDefault="001C1D7A">
            <w:pPr>
              <w:keepNext/>
              <w:keepLines/>
              <w:spacing w:after="0" w:line="240" w:lineRule="auto"/>
              <w:jc w:val="center"/>
            </w:pPr>
            <w:r>
              <w:rPr>
                <w:b/>
                <w:sz w:val="18"/>
              </w:rPr>
              <w:t>Indeks (%)</w:t>
            </w:r>
          </w:p>
        </w:tc>
      </w:tr>
      <w:tr w:rsidR="001B362E" w14:paraId="1683ABAF" w14:textId="77777777">
        <w:tblPrEx>
          <w:tblCellMar>
            <w:top w:w="0" w:type="dxa"/>
            <w:bottom w:w="0" w:type="dxa"/>
          </w:tblCellMar>
        </w:tblPrEx>
        <w:trPr>
          <w:cantSplit/>
          <w:trHeight w:val="560"/>
        </w:trPr>
        <w:tc>
          <w:tcPr>
            <w:tcW w:w="700" w:type="dxa"/>
            <w:tcMar>
              <w:top w:w="0" w:type="dxa"/>
              <w:bottom w:w="0" w:type="dxa"/>
            </w:tcMar>
            <w:vAlign w:val="center"/>
          </w:tcPr>
          <w:p w14:paraId="7FB07F04" w14:textId="77777777" w:rsidR="001B362E" w:rsidRDefault="001C1D7A">
            <w:pPr>
              <w:keepNext/>
              <w:keepLines/>
              <w:spacing w:after="0" w:line="240" w:lineRule="auto"/>
            </w:pPr>
            <w:r>
              <w:rPr>
                <w:sz w:val="18"/>
              </w:rPr>
              <w:t>161</w:t>
            </w:r>
          </w:p>
        </w:tc>
        <w:tc>
          <w:tcPr>
            <w:tcW w:w="3180" w:type="dxa"/>
            <w:tcMar>
              <w:top w:w="0" w:type="dxa"/>
              <w:bottom w:w="0" w:type="dxa"/>
            </w:tcMar>
            <w:vAlign w:val="center"/>
          </w:tcPr>
          <w:p w14:paraId="3105B8C3" w14:textId="77777777" w:rsidR="001B362E" w:rsidRDefault="001C1D7A">
            <w:pPr>
              <w:keepNext/>
              <w:keepLines/>
              <w:spacing w:after="0" w:line="240" w:lineRule="auto"/>
            </w:pPr>
            <w:r>
              <w:rPr>
                <w:sz w:val="18"/>
              </w:rPr>
              <w:t>Potraživanja za poreze</w:t>
            </w:r>
          </w:p>
        </w:tc>
        <w:tc>
          <w:tcPr>
            <w:tcW w:w="700" w:type="dxa"/>
            <w:tcMar>
              <w:top w:w="0" w:type="dxa"/>
              <w:bottom w:w="0" w:type="dxa"/>
            </w:tcMar>
            <w:vAlign w:val="center"/>
          </w:tcPr>
          <w:p w14:paraId="438DE86E" w14:textId="77777777" w:rsidR="001B362E" w:rsidRDefault="001C1D7A">
            <w:pPr>
              <w:keepNext/>
              <w:keepLines/>
              <w:spacing w:after="0" w:line="240" w:lineRule="auto"/>
            </w:pPr>
            <w:r>
              <w:rPr>
                <w:sz w:val="18"/>
              </w:rPr>
              <w:t>161</w:t>
            </w:r>
          </w:p>
        </w:tc>
        <w:tc>
          <w:tcPr>
            <w:tcW w:w="1860" w:type="dxa"/>
            <w:tcMar>
              <w:top w:w="0" w:type="dxa"/>
              <w:bottom w:w="0" w:type="dxa"/>
            </w:tcMar>
            <w:vAlign w:val="center"/>
          </w:tcPr>
          <w:p w14:paraId="361AAAC3" w14:textId="77777777" w:rsidR="001B362E" w:rsidRDefault="001C1D7A">
            <w:pPr>
              <w:keepNext/>
              <w:keepLines/>
              <w:spacing w:after="0" w:line="240" w:lineRule="auto"/>
              <w:jc w:val="right"/>
            </w:pPr>
            <w:r>
              <w:rPr>
                <w:sz w:val="18"/>
              </w:rPr>
              <w:t>16.409,55</w:t>
            </w:r>
          </w:p>
        </w:tc>
        <w:tc>
          <w:tcPr>
            <w:tcW w:w="1860" w:type="dxa"/>
            <w:tcMar>
              <w:top w:w="0" w:type="dxa"/>
              <w:bottom w:w="0" w:type="dxa"/>
            </w:tcMar>
            <w:vAlign w:val="center"/>
          </w:tcPr>
          <w:p w14:paraId="3815DCC6" w14:textId="77777777" w:rsidR="001B362E" w:rsidRDefault="001C1D7A">
            <w:pPr>
              <w:keepNext/>
              <w:keepLines/>
              <w:spacing w:after="0" w:line="240" w:lineRule="auto"/>
              <w:jc w:val="right"/>
            </w:pPr>
            <w:r>
              <w:rPr>
                <w:sz w:val="18"/>
              </w:rPr>
              <w:t>36.943,83</w:t>
            </w:r>
          </w:p>
        </w:tc>
        <w:tc>
          <w:tcPr>
            <w:tcW w:w="700" w:type="dxa"/>
            <w:tcMar>
              <w:top w:w="0" w:type="dxa"/>
              <w:bottom w:w="0" w:type="dxa"/>
            </w:tcMar>
            <w:vAlign w:val="center"/>
          </w:tcPr>
          <w:p w14:paraId="39C35AEB" w14:textId="77777777" w:rsidR="001B362E" w:rsidRDefault="001C1D7A">
            <w:pPr>
              <w:keepNext/>
              <w:keepLines/>
              <w:spacing w:after="0" w:line="240" w:lineRule="auto"/>
              <w:jc w:val="right"/>
            </w:pPr>
            <w:r>
              <w:rPr>
                <w:sz w:val="18"/>
              </w:rPr>
              <w:t>225,1</w:t>
            </w:r>
          </w:p>
        </w:tc>
      </w:tr>
    </w:tbl>
    <w:p w14:paraId="545E28E5" w14:textId="77777777" w:rsidR="001B362E" w:rsidRDefault="001B362E">
      <w:pPr>
        <w:spacing w:after="0"/>
      </w:pPr>
    </w:p>
    <w:p w14:paraId="3B53CE9B" w14:textId="77777777" w:rsidR="001B362E" w:rsidRDefault="001C1D7A">
      <w:r>
        <w:t>Potraživanja na kontu 161 potraživanja za poreze veći su za 125,1 % u odnosu na 2024. godini, zbog potraživanja za porez na promet nekretnina. Promjena se odnosi na nadležni proračun. </w:t>
      </w:r>
    </w:p>
    <w:p w14:paraId="1929DBFD" w14:textId="77777777" w:rsidR="001B362E" w:rsidRDefault="001B362E"/>
    <w:p w14:paraId="75E93DEB" w14:textId="77777777" w:rsidR="001B362E" w:rsidRDefault="001C1D7A">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23976E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F94561"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E74804"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C2C0FC"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723CDE"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E95E8C4"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80F720F" w14:textId="77777777" w:rsidR="001B362E" w:rsidRDefault="001C1D7A">
            <w:pPr>
              <w:keepNext/>
              <w:keepLines/>
              <w:spacing w:after="0" w:line="240" w:lineRule="auto"/>
              <w:jc w:val="center"/>
            </w:pPr>
            <w:r>
              <w:rPr>
                <w:b/>
                <w:sz w:val="18"/>
              </w:rPr>
              <w:t>Indeks (%)</w:t>
            </w:r>
          </w:p>
        </w:tc>
      </w:tr>
      <w:tr w:rsidR="001B362E" w14:paraId="515E2513" w14:textId="77777777">
        <w:tblPrEx>
          <w:tblCellMar>
            <w:top w:w="0" w:type="dxa"/>
            <w:bottom w:w="0" w:type="dxa"/>
          </w:tblCellMar>
        </w:tblPrEx>
        <w:trPr>
          <w:cantSplit/>
          <w:trHeight w:val="560"/>
        </w:trPr>
        <w:tc>
          <w:tcPr>
            <w:tcW w:w="700" w:type="dxa"/>
            <w:tcMar>
              <w:top w:w="0" w:type="dxa"/>
              <w:bottom w:w="0" w:type="dxa"/>
            </w:tcMar>
            <w:vAlign w:val="center"/>
          </w:tcPr>
          <w:p w14:paraId="03784362" w14:textId="77777777" w:rsidR="001B362E" w:rsidRDefault="001C1D7A">
            <w:pPr>
              <w:keepNext/>
              <w:keepLines/>
              <w:spacing w:after="0" w:line="240" w:lineRule="auto"/>
            </w:pPr>
            <w:r>
              <w:rPr>
                <w:sz w:val="18"/>
              </w:rPr>
              <w:t>231</w:t>
            </w:r>
          </w:p>
        </w:tc>
        <w:tc>
          <w:tcPr>
            <w:tcW w:w="3180" w:type="dxa"/>
            <w:tcMar>
              <w:top w:w="0" w:type="dxa"/>
              <w:bottom w:w="0" w:type="dxa"/>
            </w:tcMar>
            <w:vAlign w:val="center"/>
          </w:tcPr>
          <w:p w14:paraId="37BDB043" w14:textId="77777777" w:rsidR="001B362E" w:rsidRDefault="001C1D7A">
            <w:pPr>
              <w:keepNext/>
              <w:keepLines/>
              <w:spacing w:after="0" w:line="240" w:lineRule="auto"/>
            </w:pPr>
            <w:r>
              <w:rPr>
                <w:sz w:val="18"/>
              </w:rPr>
              <w:t>Obveze za zaposlene</w:t>
            </w:r>
          </w:p>
        </w:tc>
        <w:tc>
          <w:tcPr>
            <w:tcW w:w="700" w:type="dxa"/>
            <w:tcMar>
              <w:top w:w="0" w:type="dxa"/>
              <w:bottom w:w="0" w:type="dxa"/>
            </w:tcMar>
            <w:vAlign w:val="center"/>
          </w:tcPr>
          <w:p w14:paraId="031FD3E2" w14:textId="77777777" w:rsidR="001B362E" w:rsidRDefault="001C1D7A">
            <w:pPr>
              <w:keepNext/>
              <w:keepLines/>
              <w:spacing w:after="0" w:line="240" w:lineRule="auto"/>
            </w:pPr>
            <w:r>
              <w:rPr>
                <w:sz w:val="18"/>
              </w:rPr>
              <w:t>231</w:t>
            </w:r>
          </w:p>
        </w:tc>
        <w:tc>
          <w:tcPr>
            <w:tcW w:w="1860" w:type="dxa"/>
            <w:tcMar>
              <w:top w:w="0" w:type="dxa"/>
              <w:bottom w:w="0" w:type="dxa"/>
            </w:tcMar>
            <w:vAlign w:val="center"/>
          </w:tcPr>
          <w:p w14:paraId="77103AE6" w14:textId="77777777" w:rsidR="001B362E" w:rsidRDefault="001C1D7A">
            <w:pPr>
              <w:keepNext/>
              <w:keepLines/>
              <w:spacing w:after="0" w:line="240" w:lineRule="auto"/>
              <w:jc w:val="right"/>
            </w:pPr>
            <w:r>
              <w:rPr>
                <w:sz w:val="18"/>
              </w:rPr>
              <w:t>167.609,78</w:t>
            </w:r>
          </w:p>
        </w:tc>
        <w:tc>
          <w:tcPr>
            <w:tcW w:w="1860" w:type="dxa"/>
            <w:tcMar>
              <w:top w:w="0" w:type="dxa"/>
              <w:bottom w:w="0" w:type="dxa"/>
            </w:tcMar>
            <w:vAlign w:val="center"/>
          </w:tcPr>
          <w:p w14:paraId="44B0736E" w14:textId="77777777" w:rsidR="001B362E" w:rsidRDefault="001C1D7A">
            <w:pPr>
              <w:keepNext/>
              <w:keepLines/>
              <w:spacing w:after="0" w:line="240" w:lineRule="auto"/>
              <w:jc w:val="right"/>
            </w:pPr>
            <w:r>
              <w:rPr>
                <w:sz w:val="18"/>
              </w:rPr>
              <w:t>261.064,25</w:t>
            </w:r>
          </w:p>
        </w:tc>
        <w:tc>
          <w:tcPr>
            <w:tcW w:w="700" w:type="dxa"/>
            <w:tcMar>
              <w:top w:w="0" w:type="dxa"/>
              <w:bottom w:w="0" w:type="dxa"/>
            </w:tcMar>
            <w:vAlign w:val="center"/>
          </w:tcPr>
          <w:p w14:paraId="404926B1" w14:textId="77777777" w:rsidR="001B362E" w:rsidRDefault="001C1D7A">
            <w:pPr>
              <w:keepNext/>
              <w:keepLines/>
              <w:spacing w:after="0" w:line="240" w:lineRule="auto"/>
              <w:jc w:val="right"/>
            </w:pPr>
            <w:r>
              <w:rPr>
                <w:sz w:val="18"/>
              </w:rPr>
              <w:t>155,8</w:t>
            </w:r>
          </w:p>
        </w:tc>
      </w:tr>
    </w:tbl>
    <w:p w14:paraId="23C11C67" w14:textId="77777777" w:rsidR="001B362E" w:rsidRDefault="001B362E">
      <w:pPr>
        <w:spacing w:after="0"/>
      </w:pPr>
    </w:p>
    <w:p w14:paraId="426B4E5F" w14:textId="77777777" w:rsidR="001B362E" w:rsidRDefault="001C1D7A">
      <w:r>
        <w:t>Obveze na kontu 231 obveze za zaposlene povećane su za 55,8 % u odnosu na 2024. godinu, zbog povećanja osnovice za obračun plaća službenika i namještenika Grada Otoka, te svih proračunskih korisnika.</w:t>
      </w:r>
    </w:p>
    <w:p w14:paraId="29AA59C5" w14:textId="77777777" w:rsidR="001B362E" w:rsidRDefault="001B362E"/>
    <w:p w14:paraId="0742AA72" w14:textId="77777777" w:rsidR="001B362E" w:rsidRDefault="001C1D7A">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417FEE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917CA8"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F67F713"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7E56A9"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F8B86"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C2896E0"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C3111AD" w14:textId="77777777" w:rsidR="001B362E" w:rsidRDefault="001C1D7A">
            <w:pPr>
              <w:keepNext/>
              <w:keepLines/>
              <w:spacing w:after="0" w:line="240" w:lineRule="auto"/>
              <w:jc w:val="center"/>
            </w:pPr>
            <w:r>
              <w:rPr>
                <w:b/>
                <w:sz w:val="18"/>
              </w:rPr>
              <w:t>Indeks (%)</w:t>
            </w:r>
          </w:p>
        </w:tc>
      </w:tr>
      <w:tr w:rsidR="001B362E" w14:paraId="79B73FC3" w14:textId="77777777">
        <w:tblPrEx>
          <w:tblCellMar>
            <w:top w:w="0" w:type="dxa"/>
            <w:bottom w:w="0" w:type="dxa"/>
          </w:tblCellMar>
        </w:tblPrEx>
        <w:trPr>
          <w:cantSplit/>
          <w:trHeight w:val="560"/>
        </w:trPr>
        <w:tc>
          <w:tcPr>
            <w:tcW w:w="700" w:type="dxa"/>
            <w:tcMar>
              <w:top w:w="0" w:type="dxa"/>
              <w:bottom w:w="0" w:type="dxa"/>
            </w:tcMar>
            <w:vAlign w:val="center"/>
          </w:tcPr>
          <w:p w14:paraId="63FC80E2" w14:textId="77777777" w:rsidR="001B362E" w:rsidRDefault="001C1D7A">
            <w:pPr>
              <w:keepNext/>
              <w:keepLines/>
              <w:spacing w:after="0" w:line="240" w:lineRule="auto"/>
            </w:pPr>
            <w:r>
              <w:rPr>
                <w:sz w:val="18"/>
              </w:rPr>
              <w:t>237</w:t>
            </w:r>
          </w:p>
        </w:tc>
        <w:tc>
          <w:tcPr>
            <w:tcW w:w="3180" w:type="dxa"/>
            <w:tcMar>
              <w:top w:w="0" w:type="dxa"/>
              <w:bottom w:w="0" w:type="dxa"/>
            </w:tcMar>
            <w:vAlign w:val="center"/>
          </w:tcPr>
          <w:p w14:paraId="68E9590F" w14:textId="77777777" w:rsidR="001B362E" w:rsidRDefault="001C1D7A">
            <w:pPr>
              <w:keepNext/>
              <w:keepLines/>
              <w:spacing w:after="0" w:line="240" w:lineRule="auto"/>
            </w:pPr>
            <w:r>
              <w:rPr>
                <w:sz w:val="18"/>
              </w:rPr>
              <w:t>Obveze za naknade građanima i kućanstvima</w:t>
            </w:r>
          </w:p>
        </w:tc>
        <w:tc>
          <w:tcPr>
            <w:tcW w:w="700" w:type="dxa"/>
            <w:tcMar>
              <w:top w:w="0" w:type="dxa"/>
              <w:bottom w:w="0" w:type="dxa"/>
            </w:tcMar>
            <w:vAlign w:val="center"/>
          </w:tcPr>
          <w:p w14:paraId="5B0A710F" w14:textId="77777777" w:rsidR="001B362E" w:rsidRDefault="001C1D7A">
            <w:pPr>
              <w:keepNext/>
              <w:keepLines/>
              <w:spacing w:after="0" w:line="240" w:lineRule="auto"/>
            </w:pPr>
            <w:r>
              <w:rPr>
                <w:sz w:val="18"/>
              </w:rPr>
              <w:t>237</w:t>
            </w:r>
          </w:p>
        </w:tc>
        <w:tc>
          <w:tcPr>
            <w:tcW w:w="1860" w:type="dxa"/>
            <w:tcMar>
              <w:top w:w="0" w:type="dxa"/>
              <w:bottom w:w="0" w:type="dxa"/>
            </w:tcMar>
            <w:vAlign w:val="center"/>
          </w:tcPr>
          <w:p w14:paraId="3AA039C5" w14:textId="77777777" w:rsidR="001B362E" w:rsidRDefault="001C1D7A">
            <w:pPr>
              <w:keepNext/>
              <w:keepLines/>
              <w:spacing w:after="0" w:line="240" w:lineRule="auto"/>
              <w:jc w:val="right"/>
            </w:pPr>
            <w:r>
              <w:rPr>
                <w:sz w:val="18"/>
              </w:rPr>
              <w:t>55.216,44</w:t>
            </w:r>
          </w:p>
        </w:tc>
        <w:tc>
          <w:tcPr>
            <w:tcW w:w="1860" w:type="dxa"/>
            <w:tcMar>
              <w:top w:w="0" w:type="dxa"/>
              <w:bottom w:w="0" w:type="dxa"/>
            </w:tcMar>
            <w:vAlign w:val="center"/>
          </w:tcPr>
          <w:p w14:paraId="2FD514EE" w14:textId="77777777" w:rsidR="001B362E" w:rsidRDefault="001C1D7A">
            <w:pPr>
              <w:keepNext/>
              <w:keepLines/>
              <w:spacing w:after="0" w:line="240" w:lineRule="auto"/>
              <w:jc w:val="right"/>
            </w:pPr>
            <w:r>
              <w:rPr>
                <w:sz w:val="18"/>
              </w:rPr>
              <w:t>6.608,23</w:t>
            </w:r>
          </w:p>
        </w:tc>
        <w:tc>
          <w:tcPr>
            <w:tcW w:w="700" w:type="dxa"/>
            <w:tcMar>
              <w:top w:w="0" w:type="dxa"/>
              <w:bottom w:w="0" w:type="dxa"/>
            </w:tcMar>
            <w:vAlign w:val="center"/>
          </w:tcPr>
          <w:p w14:paraId="1C90CA8D" w14:textId="77777777" w:rsidR="001B362E" w:rsidRDefault="001C1D7A">
            <w:pPr>
              <w:keepNext/>
              <w:keepLines/>
              <w:spacing w:after="0" w:line="240" w:lineRule="auto"/>
              <w:jc w:val="right"/>
            </w:pPr>
            <w:r>
              <w:rPr>
                <w:sz w:val="18"/>
              </w:rPr>
              <w:t>12,0</w:t>
            </w:r>
          </w:p>
        </w:tc>
      </w:tr>
    </w:tbl>
    <w:p w14:paraId="0616130E" w14:textId="77777777" w:rsidR="001B362E" w:rsidRDefault="001B362E">
      <w:pPr>
        <w:spacing w:after="0"/>
      </w:pPr>
    </w:p>
    <w:p w14:paraId="17E5B344" w14:textId="77777777" w:rsidR="001B362E" w:rsidRDefault="001C1D7A">
      <w:r>
        <w:t>Obveze na kontu 237 obveze za naknade građanima i kućanstvima smanjene su za 88 % u odnosu na 2024. godinu, odnose se na ostale naknade građanima i kućanstvima, obveze za sufinanciranje prijevoza umirovljenika, te obveze za ostale naknade građanima i kućanstvima u novcu - elementarna nepogoda. Odnosi se na nadležni proračun.</w:t>
      </w:r>
    </w:p>
    <w:p w14:paraId="621AED80" w14:textId="77777777" w:rsidR="001B362E" w:rsidRDefault="001B362E"/>
    <w:p w14:paraId="3E163160" w14:textId="77777777" w:rsidR="001B362E" w:rsidRDefault="001C1D7A">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2646277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70FC99"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D9779C9"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27E5C5"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A67090"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C390E6B"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3EAEB00" w14:textId="77777777" w:rsidR="001B362E" w:rsidRDefault="001C1D7A">
            <w:pPr>
              <w:keepNext/>
              <w:keepLines/>
              <w:spacing w:after="0" w:line="240" w:lineRule="auto"/>
              <w:jc w:val="center"/>
            </w:pPr>
            <w:r>
              <w:rPr>
                <w:b/>
                <w:sz w:val="18"/>
              </w:rPr>
              <w:t>Indeks (%)</w:t>
            </w:r>
          </w:p>
        </w:tc>
      </w:tr>
      <w:tr w:rsidR="001B362E" w14:paraId="04295141" w14:textId="77777777">
        <w:tblPrEx>
          <w:tblCellMar>
            <w:top w:w="0" w:type="dxa"/>
            <w:bottom w:w="0" w:type="dxa"/>
          </w:tblCellMar>
        </w:tblPrEx>
        <w:trPr>
          <w:cantSplit/>
          <w:trHeight w:val="560"/>
        </w:trPr>
        <w:tc>
          <w:tcPr>
            <w:tcW w:w="700" w:type="dxa"/>
            <w:tcMar>
              <w:top w:w="0" w:type="dxa"/>
              <w:bottom w:w="0" w:type="dxa"/>
            </w:tcMar>
            <w:vAlign w:val="center"/>
          </w:tcPr>
          <w:p w14:paraId="6C647FC7" w14:textId="77777777" w:rsidR="001B362E" w:rsidRDefault="001C1D7A">
            <w:pPr>
              <w:keepNext/>
              <w:keepLines/>
              <w:spacing w:after="0" w:line="240" w:lineRule="auto"/>
            </w:pPr>
            <w:r>
              <w:rPr>
                <w:sz w:val="18"/>
              </w:rPr>
              <w:t>238</w:t>
            </w:r>
          </w:p>
        </w:tc>
        <w:tc>
          <w:tcPr>
            <w:tcW w:w="3180" w:type="dxa"/>
            <w:tcMar>
              <w:top w:w="0" w:type="dxa"/>
              <w:bottom w:w="0" w:type="dxa"/>
            </w:tcMar>
            <w:vAlign w:val="center"/>
          </w:tcPr>
          <w:p w14:paraId="6686F20C" w14:textId="77777777" w:rsidR="001B362E" w:rsidRDefault="001C1D7A">
            <w:pPr>
              <w:keepNext/>
              <w:keepLines/>
              <w:spacing w:after="0" w:line="240" w:lineRule="auto"/>
            </w:pPr>
            <w:r>
              <w:rPr>
                <w:sz w:val="18"/>
              </w:rPr>
              <w:t>Obveze za donacije, kazne, naknade šteta i kapitalne pomoći</w:t>
            </w:r>
          </w:p>
        </w:tc>
        <w:tc>
          <w:tcPr>
            <w:tcW w:w="700" w:type="dxa"/>
            <w:tcMar>
              <w:top w:w="0" w:type="dxa"/>
              <w:bottom w:w="0" w:type="dxa"/>
            </w:tcMar>
            <w:vAlign w:val="center"/>
          </w:tcPr>
          <w:p w14:paraId="6200A0D5" w14:textId="77777777" w:rsidR="001B362E" w:rsidRDefault="001C1D7A">
            <w:pPr>
              <w:keepNext/>
              <w:keepLines/>
              <w:spacing w:after="0" w:line="240" w:lineRule="auto"/>
            </w:pPr>
            <w:r>
              <w:rPr>
                <w:sz w:val="18"/>
              </w:rPr>
              <w:t>238</w:t>
            </w:r>
          </w:p>
        </w:tc>
        <w:tc>
          <w:tcPr>
            <w:tcW w:w="1860" w:type="dxa"/>
            <w:tcMar>
              <w:top w:w="0" w:type="dxa"/>
              <w:bottom w:w="0" w:type="dxa"/>
            </w:tcMar>
            <w:vAlign w:val="center"/>
          </w:tcPr>
          <w:p w14:paraId="4D26E97D" w14:textId="77777777" w:rsidR="001B362E" w:rsidRDefault="001C1D7A">
            <w:pPr>
              <w:keepNext/>
              <w:keepLines/>
              <w:spacing w:after="0" w:line="240" w:lineRule="auto"/>
              <w:jc w:val="right"/>
            </w:pPr>
            <w:r>
              <w:rPr>
                <w:sz w:val="18"/>
              </w:rPr>
              <w:t>12.684,06</w:t>
            </w:r>
          </w:p>
        </w:tc>
        <w:tc>
          <w:tcPr>
            <w:tcW w:w="1860" w:type="dxa"/>
            <w:tcMar>
              <w:top w:w="0" w:type="dxa"/>
              <w:bottom w:w="0" w:type="dxa"/>
            </w:tcMar>
            <w:vAlign w:val="center"/>
          </w:tcPr>
          <w:p w14:paraId="68D83FA4" w14:textId="77777777" w:rsidR="001B362E" w:rsidRDefault="001C1D7A">
            <w:pPr>
              <w:keepNext/>
              <w:keepLines/>
              <w:spacing w:after="0" w:line="240" w:lineRule="auto"/>
              <w:jc w:val="right"/>
            </w:pPr>
            <w:r>
              <w:rPr>
                <w:sz w:val="18"/>
              </w:rPr>
              <w:t>87.676,45</w:t>
            </w:r>
          </w:p>
        </w:tc>
        <w:tc>
          <w:tcPr>
            <w:tcW w:w="700" w:type="dxa"/>
            <w:tcMar>
              <w:top w:w="0" w:type="dxa"/>
              <w:bottom w:w="0" w:type="dxa"/>
            </w:tcMar>
            <w:vAlign w:val="center"/>
          </w:tcPr>
          <w:p w14:paraId="4B0E719C" w14:textId="77777777" w:rsidR="001B362E" w:rsidRDefault="001C1D7A">
            <w:pPr>
              <w:keepNext/>
              <w:keepLines/>
              <w:spacing w:after="0" w:line="240" w:lineRule="auto"/>
              <w:jc w:val="right"/>
            </w:pPr>
            <w:r>
              <w:rPr>
                <w:sz w:val="18"/>
              </w:rPr>
              <w:t>691,2</w:t>
            </w:r>
          </w:p>
        </w:tc>
      </w:tr>
    </w:tbl>
    <w:p w14:paraId="401EED73" w14:textId="77777777" w:rsidR="001B362E" w:rsidRDefault="001B362E">
      <w:pPr>
        <w:spacing w:after="0"/>
      </w:pPr>
    </w:p>
    <w:p w14:paraId="7D882F83" w14:textId="77777777" w:rsidR="001B362E" w:rsidRDefault="001C1D7A">
      <w:r>
        <w:lastRenderedPageBreak/>
        <w:t>Obveze na kontu 238 obveze za donacije, kazne, naknade šteta i kapitalne pomoći povećane su za 591,2 % u odnosu na 2024. godinu, a odnose na obveze za kapitalne donacije vjerskim zajednicama, obveze za kapitalne pomoći kreditnim i ostalim financijskim institucijama te trgovačkim društvima- sufinanciranje izgradnje ceste, te obveze za sufinanciranje škole stranih jezika. Odnosi se na nadležni proračun.</w:t>
      </w:r>
    </w:p>
    <w:p w14:paraId="6C93B384" w14:textId="77777777" w:rsidR="001B362E" w:rsidRDefault="001B362E"/>
    <w:p w14:paraId="795AC3C3" w14:textId="77777777" w:rsidR="001B362E" w:rsidRDefault="001C1D7A">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027CDA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A1516F0"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1DBBD9"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DBC3253"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E3605B" w14:textId="77777777" w:rsidR="001B362E" w:rsidRDefault="001C1D7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8F48AD4" w14:textId="77777777" w:rsidR="001B362E" w:rsidRDefault="001C1D7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87EC5F4" w14:textId="77777777" w:rsidR="001B362E" w:rsidRDefault="001C1D7A">
            <w:pPr>
              <w:keepNext/>
              <w:keepLines/>
              <w:spacing w:after="0" w:line="240" w:lineRule="auto"/>
              <w:jc w:val="center"/>
            </w:pPr>
            <w:r>
              <w:rPr>
                <w:b/>
                <w:sz w:val="18"/>
              </w:rPr>
              <w:t>Indeks (%)</w:t>
            </w:r>
          </w:p>
        </w:tc>
      </w:tr>
      <w:tr w:rsidR="001B362E" w14:paraId="6D9F60D8" w14:textId="77777777">
        <w:tblPrEx>
          <w:tblCellMar>
            <w:top w:w="0" w:type="dxa"/>
            <w:bottom w:w="0" w:type="dxa"/>
          </w:tblCellMar>
        </w:tblPrEx>
        <w:trPr>
          <w:cantSplit/>
          <w:trHeight w:val="560"/>
        </w:trPr>
        <w:tc>
          <w:tcPr>
            <w:tcW w:w="700" w:type="dxa"/>
            <w:tcMar>
              <w:top w:w="0" w:type="dxa"/>
              <w:bottom w:w="0" w:type="dxa"/>
            </w:tcMar>
            <w:vAlign w:val="center"/>
          </w:tcPr>
          <w:p w14:paraId="0AD4C864" w14:textId="77777777" w:rsidR="001B362E" w:rsidRDefault="001C1D7A">
            <w:pPr>
              <w:keepNext/>
              <w:keepLines/>
              <w:spacing w:after="0" w:line="240" w:lineRule="auto"/>
            </w:pPr>
            <w:r>
              <w:rPr>
                <w:sz w:val="18"/>
              </w:rPr>
              <w:t>24</w:t>
            </w:r>
          </w:p>
        </w:tc>
        <w:tc>
          <w:tcPr>
            <w:tcW w:w="3180" w:type="dxa"/>
            <w:tcMar>
              <w:top w:w="0" w:type="dxa"/>
              <w:bottom w:w="0" w:type="dxa"/>
            </w:tcMar>
            <w:vAlign w:val="center"/>
          </w:tcPr>
          <w:p w14:paraId="201865AC" w14:textId="77777777" w:rsidR="001B362E" w:rsidRDefault="001C1D7A">
            <w:pPr>
              <w:keepNext/>
              <w:keepLines/>
              <w:spacing w:after="0" w:line="240" w:lineRule="auto"/>
            </w:pPr>
            <w:r>
              <w:rPr>
                <w:sz w:val="18"/>
              </w:rPr>
              <w:t>Obveze za nabavu nefinancijske imovine (šifre 241 do 245)</w:t>
            </w:r>
          </w:p>
        </w:tc>
        <w:tc>
          <w:tcPr>
            <w:tcW w:w="700" w:type="dxa"/>
            <w:tcMar>
              <w:top w:w="0" w:type="dxa"/>
              <w:bottom w:w="0" w:type="dxa"/>
            </w:tcMar>
            <w:vAlign w:val="center"/>
          </w:tcPr>
          <w:p w14:paraId="63012A93" w14:textId="77777777" w:rsidR="001B362E" w:rsidRDefault="001C1D7A">
            <w:pPr>
              <w:keepNext/>
              <w:keepLines/>
              <w:spacing w:after="0" w:line="240" w:lineRule="auto"/>
            </w:pPr>
            <w:r>
              <w:rPr>
                <w:sz w:val="18"/>
              </w:rPr>
              <w:t>24</w:t>
            </w:r>
          </w:p>
        </w:tc>
        <w:tc>
          <w:tcPr>
            <w:tcW w:w="1860" w:type="dxa"/>
            <w:tcMar>
              <w:top w:w="0" w:type="dxa"/>
              <w:bottom w:w="0" w:type="dxa"/>
            </w:tcMar>
            <w:vAlign w:val="center"/>
          </w:tcPr>
          <w:p w14:paraId="3ECB35B6" w14:textId="77777777" w:rsidR="001B362E" w:rsidRDefault="001C1D7A">
            <w:pPr>
              <w:keepNext/>
              <w:keepLines/>
              <w:spacing w:after="0" w:line="240" w:lineRule="auto"/>
              <w:jc w:val="right"/>
            </w:pPr>
            <w:r>
              <w:rPr>
                <w:sz w:val="18"/>
              </w:rPr>
              <w:t>110.702,58</w:t>
            </w:r>
          </w:p>
        </w:tc>
        <w:tc>
          <w:tcPr>
            <w:tcW w:w="1860" w:type="dxa"/>
            <w:tcMar>
              <w:top w:w="0" w:type="dxa"/>
              <w:bottom w:w="0" w:type="dxa"/>
            </w:tcMar>
            <w:vAlign w:val="center"/>
          </w:tcPr>
          <w:p w14:paraId="14D86348" w14:textId="77777777" w:rsidR="001B362E" w:rsidRDefault="001C1D7A">
            <w:pPr>
              <w:keepNext/>
              <w:keepLines/>
              <w:spacing w:after="0" w:line="240" w:lineRule="auto"/>
              <w:jc w:val="right"/>
            </w:pPr>
            <w:r>
              <w:rPr>
                <w:sz w:val="18"/>
              </w:rPr>
              <w:t>19.559,74</w:t>
            </w:r>
          </w:p>
        </w:tc>
        <w:tc>
          <w:tcPr>
            <w:tcW w:w="700" w:type="dxa"/>
            <w:tcMar>
              <w:top w:w="0" w:type="dxa"/>
              <w:bottom w:w="0" w:type="dxa"/>
            </w:tcMar>
            <w:vAlign w:val="center"/>
          </w:tcPr>
          <w:p w14:paraId="4C6584AB" w14:textId="77777777" w:rsidR="001B362E" w:rsidRDefault="001C1D7A">
            <w:pPr>
              <w:keepNext/>
              <w:keepLines/>
              <w:spacing w:after="0" w:line="240" w:lineRule="auto"/>
              <w:jc w:val="right"/>
            </w:pPr>
            <w:r>
              <w:rPr>
                <w:sz w:val="18"/>
              </w:rPr>
              <w:t>17,7</w:t>
            </w:r>
          </w:p>
        </w:tc>
      </w:tr>
    </w:tbl>
    <w:p w14:paraId="16533EAD" w14:textId="77777777" w:rsidR="001B362E" w:rsidRDefault="001B362E">
      <w:pPr>
        <w:spacing w:after="0"/>
      </w:pPr>
    </w:p>
    <w:p w14:paraId="12981E3C" w14:textId="77777777" w:rsidR="001B362E" w:rsidRDefault="001C1D7A">
      <w:r>
        <w:t>Obveze na kontu 24 obveze za nabavu nefinancijske imovine smanjene su za 82,3 % u odnosu na 2024. godinu, a odnose se na obveze za nabavu opreme za videonadzor. Odnosi se na nadležni proračun.</w:t>
      </w:r>
    </w:p>
    <w:p w14:paraId="70CC9DCA" w14:textId="77777777" w:rsidR="001B362E" w:rsidRDefault="001B362E"/>
    <w:p w14:paraId="74CE3ED9" w14:textId="77777777" w:rsidR="001B362E" w:rsidRDefault="001C1D7A">
      <w:pPr>
        <w:keepNext/>
        <w:spacing w:line="240" w:lineRule="auto"/>
        <w:jc w:val="center"/>
      </w:pPr>
      <w:r>
        <w:rPr>
          <w:b/>
          <w:sz w:val="28"/>
        </w:rPr>
        <w:t>Promjene u vrijednosti i obujmu imovine i obveza</w:t>
      </w:r>
    </w:p>
    <w:p w14:paraId="274DFD66" w14:textId="77777777" w:rsidR="001B362E" w:rsidRDefault="001C1D7A">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1B362E" w14:paraId="3C2EAC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FF018D"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EB73B6"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2DFC4"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0F2318" w14:textId="77777777" w:rsidR="001B362E" w:rsidRDefault="001C1D7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7C20EBB" w14:textId="77777777" w:rsidR="001B362E" w:rsidRDefault="001C1D7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1ABC12EC" w14:textId="77777777" w:rsidR="001B362E" w:rsidRDefault="001C1D7A">
            <w:pPr>
              <w:keepNext/>
              <w:keepLines/>
              <w:spacing w:after="0" w:line="240" w:lineRule="auto"/>
              <w:jc w:val="center"/>
            </w:pPr>
            <w:r>
              <w:rPr>
                <w:b/>
                <w:sz w:val="18"/>
              </w:rPr>
              <w:t>Indeks (%)</w:t>
            </w:r>
          </w:p>
        </w:tc>
      </w:tr>
      <w:tr w:rsidR="001B362E" w14:paraId="46A4551F" w14:textId="77777777">
        <w:tblPrEx>
          <w:tblCellMar>
            <w:top w:w="0" w:type="dxa"/>
            <w:bottom w:w="0" w:type="dxa"/>
          </w:tblCellMar>
        </w:tblPrEx>
        <w:trPr>
          <w:cantSplit/>
          <w:trHeight w:val="560"/>
        </w:trPr>
        <w:tc>
          <w:tcPr>
            <w:tcW w:w="700" w:type="dxa"/>
            <w:tcMar>
              <w:top w:w="0" w:type="dxa"/>
              <w:bottom w:w="0" w:type="dxa"/>
            </w:tcMar>
            <w:vAlign w:val="center"/>
          </w:tcPr>
          <w:p w14:paraId="65949ACD" w14:textId="77777777" w:rsidR="001B362E" w:rsidRDefault="001C1D7A">
            <w:pPr>
              <w:keepNext/>
              <w:keepLines/>
              <w:spacing w:after="0" w:line="240" w:lineRule="auto"/>
            </w:pPr>
            <w:r>
              <w:rPr>
                <w:sz w:val="18"/>
              </w:rPr>
              <w:t>9151</w:t>
            </w:r>
          </w:p>
        </w:tc>
        <w:tc>
          <w:tcPr>
            <w:tcW w:w="3180" w:type="dxa"/>
            <w:tcMar>
              <w:top w:w="0" w:type="dxa"/>
              <w:bottom w:w="0" w:type="dxa"/>
            </w:tcMar>
            <w:vAlign w:val="center"/>
          </w:tcPr>
          <w:p w14:paraId="11039759" w14:textId="77777777" w:rsidR="001B362E" w:rsidRDefault="001C1D7A">
            <w:pPr>
              <w:keepNext/>
              <w:keepLines/>
              <w:spacing w:after="0" w:line="240" w:lineRule="auto"/>
            </w:pPr>
            <w:r>
              <w:rPr>
                <w:sz w:val="18"/>
              </w:rPr>
              <w:t>Promjene u vrijednosti i obujmu imovine (šifre 91511+91512)</w:t>
            </w:r>
          </w:p>
        </w:tc>
        <w:tc>
          <w:tcPr>
            <w:tcW w:w="700" w:type="dxa"/>
            <w:tcMar>
              <w:top w:w="0" w:type="dxa"/>
              <w:bottom w:w="0" w:type="dxa"/>
            </w:tcMar>
            <w:vAlign w:val="center"/>
          </w:tcPr>
          <w:p w14:paraId="51D1E1E3" w14:textId="77777777" w:rsidR="001B362E" w:rsidRDefault="001C1D7A">
            <w:pPr>
              <w:keepNext/>
              <w:keepLines/>
              <w:spacing w:after="0" w:line="240" w:lineRule="auto"/>
            </w:pPr>
            <w:r>
              <w:rPr>
                <w:sz w:val="18"/>
              </w:rPr>
              <w:t>9151</w:t>
            </w:r>
          </w:p>
        </w:tc>
        <w:tc>
          <w:tcPr>
            <w:tcW w:w="1860" w:type="dxa"/>
            <w:tcMar>
              <w:top w:w="0" w:type="dxa"/>
              <w:bottom w:w="0" w:type="dxa"/>
            </w:tcMar>
            <w:vAlign w:val="center"/>
          </w:tcPr>
          <w:p w14:paraId="7BD38FE9" w14:textId="77777777" w:rsidR="001B362E" w:rsidRDefault="001C1D7A">
            <w:pPr>
              <w:keepNext/>
              <w:keepLines/>
              <w:spacing w:after="0" w:line="240" w:lineRule="auto"/>
              <w:jc w:val="right"/>
            </w:pPr>
            <w:r>
              <w:rPr>
                <w:sz w:val="18"/>
              </w:rPr>
              <w:t>2.781,50</w:t>
            </w:r>
          </w:p>
        </w:tc>
        <w:tc>
          <w:tcPr>
            <w:tcW w:w="1860" w:type="dxa"/>
            <w:tcMar>
              <w:top w:w="0" w:type="dxa"/>
              <w:bottom w:w="0" w:type="dxa"/>
            </w:tcMar>
            <w:vAlign w:val="center"/>
          </w:tcPr>
          <w:p w14:paraId="7E44E4A9" w14:textId="77777777" w:rsidR="001B362E" w:rsidRDefault="001C1D7A">
            <w:pPr>
              <w:keepNext/>
              <w:keepLines/>
              <w:spacing w:after="0" w:line="240" w:lineRule="auto"/>
              <w:jc w:val="right"/>
            </w:pPr>
            <w:r>
              <w:rPr>
                <w:sz w:val="18"/>
              </w:rPr>
              <w:t>29.332,72</w:t>
            </w:r>
          </w:p>
        </w:tc>
        <w:tc>
          <w:tcPr>
            <w:tcW w:w="700" w:type="dxa"/>
            <w:tcMar>
              <w:top w:w="0" w:type="dxa"/>
              <w:bottom w:w="0" w:type="dxa"/>
            </w:tcMar>
            <w:vAlign w:val="center"/>
          </w:tcPr>
          <w:p w14:paraId="340533E3" w14:textId="77777777" w:rsidR="001B362E" w:rsidRDefault="001C1D7A">
            <w:pPr>
              <w:keepNext/>
              <w:keepLines/>
              <w:spacing w:after="0" w:line="240" w:lineRule="auto"/>
              <w:jc w:val="right"/>
            </w:pPr>
            <w:r>
              <w:rPr>
                <w:sz w:val="18"/>
              </w:rPr>
              <w:t>1054,6</w:t>
            </w:r>
          </w:p>
        </w:tc>
      </w:tr>
    </w:tbl>
    <w:p w14:paraId="29624EF2" w14:textId="77777777" w:rsidR="001B362E" w:rsidRDefault="001B362E">
      <w:pPr>
        <w:spacing w:after="0"/>
      </w:pPr>
    </w:p>
    <w:p w14:paraId="3B7B54BC" w14:textId="77777777" w:rsidR="001B362E" w:rsidRDefault="001C1D7A">
      <w:r>
        <w:t>Promjene u vrijednosti i obujmu imovine odnose se na proračunskog korisnika Ustanova Virovi, a promjene se odnose na usklađenje po inventuri te amortizaciju dugotrajne imovine.</w:t>
      </w:r>
    </w:p>
    <w:p w14:paraId="056E7A54" w14:textId="77777777" w:rsidR="001B362E" w:rsidRDefault="001B362E"/>
    <w:p w14:paraId="7A57ADAC" w14:textId="77777777" w:rsidR="001B362E" w:rsidRDefault="001C1D7A">
      <w:pPr>
        <w:keepNext/>
        <w:spacing w:line="240" w:lineRule="auto"/>
        <w:jc w:val="center"/>
      </w:pPr>
      <w:r>
        <w:rPr>
          <w:b/>
          <w:sz w:val="28"/>
        </w:rPr>
        <w:t>Izvještaj o obvezama</w:t>
      </w:r>
    </w:p>
    <w:p w14:paraId="10AE926D" w14:textId="77777777" w:rsidR="001B362E" w:rsidRDefault="001C1D7A">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1B362E" w14:paraId="5C834AE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342BA7" w14:textId="77777777" w:rsidR="001B362E" w:rsidRDefault="001C1D7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7B6728" w14:textId="77777777" w:rsidR="001B362E" w:rsidRDefault="001C1D7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3139EF" w14:textId="77777777" w:rsidR="001B362E" w:rsidRDefault="001C1D7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088357B" w14:textId="77777777" w:rsidR="001B362E" w:rsidRDefault="001C1D7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4478773D" w14:textId="77777777" w:rsidR="001B362E" w:rsidRDefault="001C1D7A">
            <w:pPr>
              <w:keepNext/>
              <w:keepLines/>
              <w:spacing w:after="0" w:line="240" w:lineRule="auto"/>
              <w:jc w:val="center"/>
            </w:pPr>
            <w:r>
              <w:rPr>
                <w:b/>
                <w:sz w:val="18"/>
              </w:rPr>
              <w:t>Indeks (%)</w:t>
            </w:r>
          </w:p>
        </w:tc>
      </w:tr>
      <w:tr w:rsidR="001B362E" w14:paraId="5852FE29" w14:textId="77777777">
        <w:tblPrEx>
          <w:tblCellMar>
            <w:top w:w="0" w:type="dxa"/>
            <w:bottom w:w="0" w:type="dxa"/>
          </w:tblCellMar>
        </w:tblPrEx>
        <w:trPr>
          <w:cantSplit/>
          <w:trHeight w:val="560"/>
        </w:trPr>
        <w:tc>
          <w:tcPr>
            <w:tcW w:w="700" w:type="dxa"/>
            <w:tcMar>
              <w:top w:w="0" w:type="dxa"/>
              <w:bottom w:w="0" w:type="dxa"/>
            </w:tcMar>
            <w:vAlign w:val="center"/>
          </w:tcPr>
          <w:p w14:paraId="33DD87C4" w14:textId="77777777" w:rsidR="001B362E" w:rsidRDefault="001B362E">
            <w:pPr>
              <w:keepNext/>
              <w:keepLines/>
              <w:spacing w:after="0" w:line="240" w:lineRule="auto"/>
            </w:pPr>
          </w:p>
        </w:tc>
        <w:tc>
          <w:tcPr>
            <w:tcW w:w="3180" w:type="dxa"/>
            <w:tcMar>
              <w:top w:w="0" w:type="dxa"/>
              <w:bottom w:w="0" w:type="dxa"/>
            </w:tcMar>
            <w:vAlign w:val="center"/>
          </w:tcPr>
          <w:p w14:paraId="54AE29BE" w14:textId="77777777" w:rsidR="001B362E" w:rsidRDefault="001C1D7A">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8843910" w14:textId="77777777" w:rsidR="001B362E" w:rsidRDefault="001C1D7A">
            <w:pPr>
              <w:keepNext/>
              <w:keepLines/>
              <w:spacing w:after="0" w:line="240" w:lineRule="auto"/>
            </w:pPr>
            <w:r>
              <w:rPr>
                <w:sz w:val="18"/>
              </w:rPr>
              <w:t>V007</w:t>
            </w:r>
          </w:p>
        </w:tc>
        <w:tc>
          <w:tcPr>
            <w:tcW w:w="1860" w:type="dxa"/>
            <w:tcMar>
              <w:top w:w="0" w:type="dxa"/>
              <w:bottom w:w="0" w:type="dxa"/>
            </w:tcMar>
            <w:vAlign w:val="center"/>
          </w:tcPr>
          <w:p w14:paraId="438DE8E3" w14:textId="77777777" w:rsidR="001B362E" w:rsidRDefault="001C1D7A">
            <w:pPr>
              <w:keepNext/>
              <w:keepLines/>
              <w:spacing w:after="0" w:line="240" w:lineRule="auto"/>
              <w:jc w:val="right"/>
            </w:pPr>
            <w:r>
              <w:rPr>
                <w:sz w:val="18"/>
              </w:rPr>
              <w:t>75.319,46</w:t>
            </w:r>
          </w:p>
        </w:tc>
        <w:tc>
          <w:tcPr>
            <w:tcW w:w="700" w:type="dxa"/>
            <w:tcMar>
              <w:top w:w="0" w:type="dxa"/>
              <w:bottom w:w="0" w:type="dxa"/>
            </w:tcMar>
            <w:vAlign w:val="center"/>
          </w:tcPr>
          <w:p w14:paraId="362C30A5" w14:textId="77777777" w:rsidR="001B362E" w:rsidRDefault="001C1D7A">
            <w:pPr>
              <w:keepNext/>
              <w:keepLines/>
              <w:spacing w:after="0" w:line="240" w:lineRule="auto"/>
              <w:jc w:val="right"/>
            </w:pPr>
            <w:r>
              <w:rPr>
                <w:sz w:val="18"/>
              </w:rPr>
              <w:t>-</w:t>
            </w:r>
          </w:p>
        </w:tc>
      </w:tr>
    </w:tbl>
    <w:p w14:paraId="02ED4B08" w14:textId="77777777" w:rsidR="001B362E" w:rsidRDefault="001B362E">
      <w:pPr>
        <w:spacing w:after="0"/>
      </w:pPr>
    </w:p>
    <w:p w14:paraId="6464271A" w14:textId="77777777" w:rsidR="001B362E" w:rsidRDefault="001C1D7A">
      <w:r>
        <w:t>Grad Otok</w:t>
      </w:r>
    </w:p>
    <w:p w14:paraId="713D0F4C" w14:textId="77777777" w:rsidR="001B362E" w:rsidRDefault="001C1D7A">
      <w:r>
        <w:t>Dospjele obveze (V007) iznose 63.518,98 eura, a odnose se na rashode za usluge. </w:t>
      </w:r>
    </w:p>
    <w:p w14:paraId="4E80DB4F" w14:textId="77777777" w:rsidR="001B362E" w:rsidRDefault="001C1D7A">
      <w:r>
        <w:t>Dospjele obveze odnose se na sljedeće obveze:</w:t>
      </w:r>
    </w:p>
    <w:p w14:paraId="406A338D" w14:textId="77777777" w:rsidR="001B362E" w:rsidRDefault="001C1D7A">
      <w:r>
        <w:t>•        obveze za rashode za usluge u iznosu od 10.716,80 eura</w:t>
      </w:r>
    </w:p>
    <w:p w14:paraId="4548777F" w14:textId="77777777" w:rsidR="001B362E" w:rsidRDefault="001C1D7A">
      <w:r>
        <w:lastRenderedPageBreak/>
        <w:t>•        obveze za rashode za ostale nespomenute rashode poslovanja u iznosu od 8.369,81 eura</w:t>
      </w:r>
    </w:p>
    <w:p w14:paraId="081D23B9" w14:textId="77777777" w:rsidR="001B362E" w:rsidRDefault="001C1D7A">
      <w:r>
        <w:t>•        obveze za ostale naknade građanima i kućanstvima u iznosu od 5.768,88 eura</w:t>
      </w:r>
    </w:p>
    <w:p w14:paraId="60F028DA" w14:textId="77777777" w:rsidR="001B362E" w:rsidRDefault="001C1D7A">
      <w:r>
        <w:t>•        obveze za potpore udrugama građana u iznosu od 19.103,75 eura</w:t>
      </w:r>
    </w:p>
    <w:p w14:paraId="785C1952" w14:textId="77777777" w:rsidR="001B362E" w:rsidRDefault="001C1D7A">
      <w:r>
        <w:t xml:space="preserve">•        obveze za </w:t>
      </w:r>
      <w:proofErr w:type="spellStart"/>
      <w:r>
        <w:t>jamčevne</w:t>
      </w:r>
      <w:proofErr w:type="spellEnd"/>
      <w:r>
        <w:t xml:space="preserve"> </w:t>
      </w:r>
      <w:proofErr w:type="spellStart"/>
      <w:r>
        <w:t>pologe</w:t>
      </w:r>
      <w:proofErr w:type="spellEnd"/>
      <w:r>
        <w:t xml:space="preserve"> u iznosu od 19.559,74 eura </w:t>
      </w:r>
    </w:p>
    <w:p w14:paraId="00444EBC" w14:textId="77777777" w:rsidR="001B362E" w:rsidRDefault="001C1D7A">
      <w:r>
        <w:t>Ustanova Virovi</w:t>
      </w:r>
    </w:p>
    <w:p w14:paraId="578D4428" w14:textId="77777777" w:rsidR="001B362E" w:rsidRDefault="001C1D7A">
      <w:r>
        <w:t>Dospjele obveze (V007) iznose 11.800,48 eura, a odnose se na materijalne rashode.</w:t>
      </w:r>
    </w:p>
    <w:p w14:paraId="617CA5C5" w14:textId="77777777" w:rsidR="001B362E" w:rsidRDefault="001C1D7A">
      <w:r>
        <w:t>Gradska knjižnica Otok</w:t>
      </w:r>
    </w:p>
    <w:p w14:paraId="05F06CBB" w14:textId="77777777" w:rsidR="001B362E" w:rsidRDefault="001C1D7A">
      <w:r>
        <w:t>Dospjele obveze (V007) iznose 0,00 eura, odnosno nema dospjelih obveza.</w:t>
      </w:r>
    </w:p>
    <w:p w14:paraId="73880691" w14:textId="77777777" w:rsidR="001B362E" w:rsidRDefault="001C1D7A">
      <w:r>
        <w:t>Otočka razvojna agencija</w:t>
      </w:r>
    </w:p>
    <w:p w14:paraId="4470D133" w14:textId="77777777" w:rsidR="001B362E" w:rsidRDefault="001C1D7A">
      <w:r>
        <w:t>Dospjele obveze (V007) iznose 0,00 eura, odnosno nema dospjelih obveza.</w:t>
      </w:r>
    </w:p>
    <w:p w14:paraId="37167A5A" w14:textId="77777777" w:rsidR="001B362E" w:rsidRDefault="001C1D7A">
      <w:r>
        <w:t>Dječji vrtić Pupoljak Otok</w:t>
      </w:r>
    </w:p>
    <w:p w14:paraId="7460ACF4" w14:textId="77777777" w:rsidR="001B362E" w:rsidRDefault="001C1D7A">
      <w:r>
        <w:t>Gradska knjižnica Otok</w:t>
      </w:r>
    </w:p>
    <w:p w14:paraId="3BD7F9D0" w14:textId="77777777" w:rsidR="001B362E" w:rsidRDefault="001C1D7A">
      <w:r>
        <w:t>Dospjele obveze (V007) iznose 0,00 eura, odnosno nema dospjelih obveza.</w:t>
      </w:r>
    </w:p>
    <w:p w14:paraId="67976D10" w14:textId="77777777" w:rsidR="001B362E" w:rsidRDefault="001B362E"/>
    <w:p w14:paraId="373FEA1C" w14:textId="77777777" w:rsidR="001B362E" w:rsidRDefault="001C1D7A">
      <w:pPr>
        <w:keepNext/>
        <w:spacing w:line="240" w:lineRule="auto"/>
        <w:jc w:val="center"/>
      </w:pPr>
      <w:r>
        <w:rPr>
          <w:sz w:val="28"/>
        </w:rPr>
        <w:t>Bilješka 31.</w:t>
      </w:r>
    </w:p>
    <w:p w14:paraId="2A051235" w14:textId="77777777" w:rsidR="001B362E" w:rsidRDefault="001C1D7A">
      <w:pPr>
        <w:spacing w:line="240" w:lineRule="auto"/>
        <w:jc w:val="both"/>
      </w:pPr>
      <w:r>
        <w:rPr>
          <w:b/>
        </w:rPr>
        <w:t xml:space="preserve">Manjak ili višak u poslovanju grupe i pregled strukture manjka/viška po proračunskim korisnicima </w:t>
      </w:r>
    </w:p>
    <w:p w14:paraId="1F985386" w14:textId="77777777" w:rsidR="001B362E" w:rsidRDefault="001C1D7A">
      <w:r>
        <w:t>Pregled rezultata poslovanja prema proračunskim korisnicima i nadležnom proračunu</w:t>
      </w:r>
    </w:p>
    <w:p w14:paraId="31C8EE1C" w14:textId="77777777" w:rsidR="001B362E" w:rsidRDefault="001C1D7A">
      <w:r>
        <w:t>Šifra X006-konsolidirani višak prihoda i primitaka za pokriće u sljedećem razdoblju iznosi 1.978.001,54 eura. </w:t>
      </w:r>
    </w:p>
    <w:p w14:paraId="04636505" w14:textId="77777777" w:rsidR="001B362E" w:rsidRDefault="001C1D7A">
      <w:r>
        <w:t>Konsolidirani višak prihoda i primitaka nastao je od: </w:t>
      </w:r>
    </w:p>
    <w:p w14:paraId="742710CF" w14:textId="77777777" w:rsidR="001B362E" w:rsidRDefault="001C1D7A">
      <w:r>
        <w:t>Proračunski korisnik Dječji vrtić Pupoljak poslovanjem u 2025. godini ostvario je manjak prihoda od 105.370,74 eura.  Budući da ima 33.822,25 eura prenesenog manjka iz ranijih godina, kumulativno promatrano na dan 31.12.2025. godine ima 139.192,99 eura manjka prihoda za pokriće u narednim poslovnim godinama..</w:t>
      </w:r>
    </w:p>
    <w:p w14:paraId="19BCC48C" w14:textId="77777777" w:rsidR="001B362E" w:rsidRDefault="001C1D7A">
      <w:r>
        <w:t>Proračunski korisnik Ustanova Virovi poslovanjem u 2025. godini ostvario je manjak prihoda od 48.424,12 eura. Budući da ima 3.615,86 eura prenesenog viška prihoda iz ranijih godina, kumulativno promatrano na dan 31.12.2025. godine ima 44.808,26  eura manjka prihoda za pokriće u narednim poslovnim godinama. </w:t>
      </w:r>
    </w:p>
    <w:p w14:paraId="79CCDF56" w14:textId="05DF067C" w:rsidR="001B362E" w:rsidRDefault="001C1D7A">
      <w:r>
        <w:t>Proračunski korisnik Otočka razvojna agencija poslovanjem u 2025. godini ostvario je višak prihoda od 51,05 eura. Budući da ima 5.942,40 eura prenese</w:t>
      </w:r>
      <w:r>
        <w:t>n</w:t>
      </w:r>
      <w:r w:rsidR="00537176">
        <w:t>o</w:t>
      </w:r>
      <w:r>
        <w:t>g manjka prihoda iz ranijih godina, kumulativno promatrano na dan 31.12.2025. godine ima 5.891,35 eura manjka prihoda za pokriće u narednim poslovnim godinama. </w:t>
      </w:r>
    </w:p>
    <w:p w14:paraId="43A0D416" w14:textId="57C063F6" w:rsidR="001B362E" w:rsidRDefault="001C1D7A">
      <w:r>
        <w:lastRenderedPageBreak/>
        <w:t>Proračunski korisnik Gradska knjižnica Otok poslovanjem u 2025. godini ostvario je manjak prihoda od 139,10 eura. Budući da ima 2.091,62 eura prenese</w:t>
      </w:r>
      <w:r>
        <w:t>n</w:t>
      </w:r>
      <w:r w:rsidR="00537176">
        <w:t>o</w:t>
      </w:r>
      <w:r>
        <w:t>g viška prihoda iz ranijih godina, kumulativno promatrano na dan 31.12.2025. godine ima 1.952,52 eura viška prihoda za pokriće u narednim poslovnim godinama. </w:t>
      </w:r>
    </w:p>
    <w:p w14:paraId="0BF534ED" w14:textId="77777777" w:rsidR="001B362E" w:rsidRDefault="001C1D7A">
      <w:r>
        <w:t>Nadležni proračun ostvario je poslovanjem u 2025. godini manjak prihoda i primitaka u iznosu od 1.031.087,23 eura. Budući da je iznos prenesenog viška prihoda i primitaka iz prethodnih godina iznosio 3.177.978,51 eura, te su tijekom 2025. godine vršene određene korekcije prenesenog rezultata, preneseni višak na kraju 2025. godine iznosio je 3.202.830,71 eura, kumulativno promatrano Grad Otok na dan 31.12.2025. ima višak prihoda za pokriće u sljedećim razdobljima u iznosu od 2.171.743,48 eura.</w:t>
      </w:r>
    </w:p>
    <w:p w14:paraId="58FC0EE9" w14:textId="77777777" w:rsidR="001B362E" w:rsidRDefault="001C1D7A">
      <w:r>
        <w:t>Konsolidacijom viška prihoda i primitaka odnosno manjkova prihoda i primitaka proračunskih korisnika, te viška prihoda i primitaka nadležnog proračuna konsolidirani višak prihoda i primitaka za pokriće u sljedećem razdoblju iznosi 1.978.001,54 eura. </w:t>
      </w:r>
    </w:p>
    <w:p w14:paraId="58D4DDEE" w14:textId="77777777" w:rsidR="001B362E" w:rsidRDefault="001C1D7A">
      <w:r>
        <w:t> </w:t>
      </w:r>
    </w:p>
    <w:p w14:paraId="7952D2C4" w14:textId="77777777" w:rsidR="001B362E" w:rsidRDefault="001C1D7A">
      <w:r>
        <w:t> </w:t>
      </w:r>
    </w:p>
    <w:p w14:paraId="796CAB33" w14:textId="77777777" w:rsidR="001B362E" w:rsidRDefault="001B362E"/>
    <w:p w14:paraId="58F0C96C" w14:textId="77777777" w:rsidR="001B362E" w:rsidRDefault="001C1D7A">
      <w:pPr>
        <w:keepNext/>
        <w:spacing w:line="240" w:lineRule="auto"/>
        <w:jc w:val="center"/>
      </w:pPr>
      <w:r>
        <w:rPr>
          <w:sz w:val="28"/>
        </w:rPr>
        <w:t>Bilješka 32.</w:t>
      </w:r>
    </w:p>
    <w:p w14:paraId="286C24DA" w14:textId="4A2E960E" w:rsidR="001B362E" w:rsidRDefault="001C1D7A">
      <w:pPr>
        <w:spacing w:line="240" w:lineRule="auto"/>
        <w:jc w:val="both"/>
      </w:pPr>
      <w:r>
        <w:rPr>
          <w:b/>
        </w:rPr>
        <w:t>Unutar</w:t>
      </w:r>
      <w:r>
        <w:rPr>
          <w:b/>
        </w:rPr>
        <w:t>grupne transakcije koje su u izvještajima eliminirane</w:t>
      </w:r>
    </w:p>
    <w:p w14:paraId="57CE9942" w14:textId="77777777" w:rsidR="001B362E" w:rsidRDefault="001C1D7A">
      <w:r>
        <w:t>Šifra 6711 prihodi iz nadležnog proračuna za financiranje rashoda poslovanja. </w:t>
      </w:r>
    </w:p>
    <w:p w14:paraId="2BDA5F8E" w14:textId="77777777" w:rsidR="001B362E" w:rsidRDefault="001C1D7A">
      <w:r>
        <w:t>U konsolidiranom financijskom izvješću eliminirane su transakcije unutar odjeljka 671, odnosno prihodi koje su proračunski korisnici ostvarili uplatom iz nadležnog proračuna za financiranje rashoda poslovanja, ukupnog iznosa 1.174.511,97 eura.</w:t>
      </w:r>
    </w:p>
    <w:p w14:paraId="7390979C" w14:textId="77777777" w:rsidR="001B362E" w:rsidRDefault="001C1D7A">
      <w:r>
        <w:t>Šifra 3672 prijenos proračunskim korisnicima iz nadležnog proračuna za financiranje rashoda poslovanja.</w:t>
      </w:r>
    </w:p>
    <w:p w14:paraId="0D153163" w14:textId="5D931841" w:rsidR="001B362E" w:rsidRDefault="001C1D7A">
      <w:r>
        <w:t>U konsolidiranom financijskom izvješću eliminirani su rashodi unutar</w:t>
      </w:r>
      <w:r>
        <w:t xml:space="preserve"> odjeljka 367. To su transakcije koje je Grad Otok prenio svojim proračunskim korisnicima za financiranje rashoda poslovanja. </w:t>
      </w:r>
    </w:p>
    <w:p w14:paraId="0114643B" w14:textId="77777777" w:rsidR="001B362E" w:rsidRDefault="001B362E"/>
    <w:sectPr w:rsidR="001B36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E4500"/>
    <w:multiLevelType w:val="hybridMultilevel"/>
    <w:tmpl w:val="C6E6E1E8"/>
    <w:name w:val="decimal"/>
    <w:lvl w:ilvl="0" w:tplc="01904794">
      <w:start w:val="1"/>
      <w:numFmt w:val="decimal"/>
      <w:lvlText w:val="%1."/>
      <w:lvlJc w:val="left"/>
      <w:pPr>
        <w:ind w:left="720" w:hanging="360"/>
      </w:pPr>
    </w:lvl>
    <w:lvl w:ilvl="1" w:tplc="46F6A002">
      <w:start w:val="1"/>
      <w:numFmt w:val="decimal"/>
      <w:lvlText w:val="%2."/>
      <w:lvlJc w:val="left"/>
      <w:pPr>
        <w:ind w:left="1440" w:hanging="360"/>
      </w:pPr>
    </w:lvl>
    <w:lvl w:ilvl="2" w:tplc="E60AB6A0">
      <w:start w:val="1"/>
      <w:numFmt w:val="decimal"/>
      <w:lvlText w:val="%3."/>
      <w:lvlJc w:val="left"/>
      <w:pPr>
        <w:ind w:left="2160" w:hanging="360"/>
      </w:pPr>
    </w:lvl>
    <w:lvl w:ilvl="3" w:tplc="993E8D96">
      <w:start w:val="1"/>
      <w:numFmt w:val="decimal"/>
      <w:lvlText w:val="%4."/>
      <w:lvlJc w:val="left"/>
      <w:pPr>
        <w:ind w:left="2880" w:hanging="360"/>
      </w:pPr>
    </w:lvl>
    <w:lvl w:ilvl="4" w:tplc="2F30C856">
      <w:start w:val="1"/>
      <w:numFmt w:val="decimal"/>
      <w:lvlText w:val="%5."/>
      <w:lvlJc w:val="left"/>
      <w:pPr>
        <w:ind w:left="3600" w:hanging="360"/>
      </w:pPr>
    </w:lvl>
    <w:lvl w:ilvl="5" w:tplc="304EA57A">
      <w:start w:val="1"/>
      <w:numFmt w:val="decimal"/>
      <w:lvlText w:val="%6."/>
      <w:lvlJc w:val="left"/>
      <w:pPr>
        <w:ind w:left="4320" w:hanging="360"/>
      </w:pPr>
    </w:lvl>
    <w:lvl w:ilvl="6" w:tplc="BDEC8F7A">
      <w:start w:val="1"/>
      <w:numFmt w:val="decimal"/>
      <w:lvlText w:val="%7."/>
      <w:lvlJc w:val="left"/>
      <w:pPr>
        <w:ind w:left="5040" w:hanging="360"/>
      </w:pPr>
    </w:lvl>
    <w:lvl w:ilvl="7" w:tplc="CDB29BB6">
      <w:start w:val="1"/>
      <w:numFmt w:val="decimal"/>
      <w:lvlText w:val="%8."/>
      <w:lvlJc w:val="left"/>
      <w:pPr>
        <w:ind w:left="5760" w:hanging="360"/>
      </w:pPr>
    </w:lvl>
    <w:lvl w:ilvl="8" w:tplc="39F8399E">
      <w:start w:val="1"/>
      <w:numFmt w:val="decimal"/>
      <w:lvlText w:val="%9."/>
      <w:lvlJc w:val="left"/>
      <w:pPr>
        <w:ind w:left="6480" w:hanging="360"/>
      </w:pPr>
    </w:lvl>
  </w:abstractNum>
  <w:num w:numId="1" w16cid:durableId="16801568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62E"/>
    <w:rsid w:val="001B362E"/>
    <w:rsid w:val="001C1D7A"/>
    <w:rsid w:val="00537176"/>
    <w:rsid w:val="00B310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31FE"/>
  <w15:docId w15:val="{2742A9D6-E37C-403A-8FB1-6A9F60A64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2981</Words>
  <Characters>16993</Characters>
  <Application>Microsoft Office Word</Application>
  <DocSecurity>0</DocSecurity>
  <Lines>141</Lines>
  <Paragraphs>39</Paragraphs>
  <ScaleCrop>false</ScaleCrop>
  <Company/>
  <LinksUpToDate>false</LinksUpToDate>
  <CharactersWithSpaces>19935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Grad Otok</cp:lastModifiedBy>
  <cp:revision>2</cp:revision>
  <dcterms:created xsi:type="dcterms:W3CDTF">2026-02-26T12:20:00Z</dcterms:created>
  <dcterms:modified xsi:type="dcterms:W3CDTF">2026-02-26T12:20:00Z</dcterms:modified>
</cp:coreProperties>
</file>